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Light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510"/>
        <w:gridCol w:w="5516"/>
      </w:tblGrid>
      <w:tr w:rsidR="56387551" w:rsidTr="1E23324E" w14:paraId="2427D7B2" w14:textId="77777777">
        <w:tc>
          <w:tcPr>
            <w:tcW w:w="3510" w:type="dxa"/>
            <w:tcBorders>
              <w:right w:val="single" w:color="auto" w:sz="4" w:space="0"/>
            </w:tcBorders>
          </w:tcPr>
          <w:p w:rsidR="56387551" w:rsidP="1E23324E" w:rsidRDefault="56387551" w14:paraId="1F4DF86B" w14:textId="3FF0CF0F">
            <w:pPr>
              <w:rPr>
                <w:rFonts w:ascii="Arial" w:hAnsi="Arial" w:eastAsia="Arial" w:cs="Arial"/>
              </w:rPr>
            </w:pPr>
            <w:bookmarkStart w:name="_GoBack" w:id="0"/>
            <w:bookmarkEnd w:id="0"/>
            <w:r>
              <w:rPr>
                <w:noProof/>
                <w:lang w:eastAsia="en-GB"/>
              </w:rPr>
              <w:drawing>
                <wp:inline distT="0" distB="0" distL="0" distR="0" wp14:anchorId="7437F41F" wp14:editId="36366D78">
                  <wp:extent cx="2038350" cy="609600"/>
                  <wp:effectExtent l="0" t="0" r="0" b="0"/>
                  <wp:docPr id="1882578837" name="Picture 34453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533403"/>
                          <pic:cNvPicPr/>
                        </pic:nvPicPr>
                        <pic:blipFill>
                          <a:blip r:embed="rId10">
                            <a:extLst>
                              <a:ext uri="{28A0092B-C50C-407E-A947-70E740481C1C}">
                                <a14:useLocalDpi xmlns:a14="http://schemas.microsoft.com/office/drawing/2010/main" val="0"/>
                              </a:ext>
                            </a:extLst>
                          </a:blip>
                          <a:stretch>
                            <a:fillRect/>
                          </a:stretch>
                        </pic:blipFill>
                        <pic:spPr>
                          <a:xfrm>
                            <a:off x="0" y="0"/>
                            <a:ext cx="2038350" cy="609600"/>
                          </a:xfrm>
                          <a:prstGeom prst="rect">
                            <a:avLst/>
                          </a:prstGeom>
                        </pic:spPr>
                      </pic:pic>
                    </a:graphicData>
                  </a:graphic>
                </wp:inline>
              </w:drawing>
            </w:r>
          </w:p>
        </w:tc>
        <w:tc>
          <w:tcPr>
            <w:tcW w:w="5516" w:type="dxa"/>
            <w:tcBorders>
              <w:left w:val="single" w:color="auto" w:sz="4" w:space="0"/>
            </w:tcBorders>
            <w:vAlign w:val="center"/>
          </w:tcPr>
          <w:p w:rsidRPr="00573D29" w:rsidR="56387551" w:rsidP="1E23324E" w:rsidRDefault="1E23324E" w14:paraId="6F40D23A" w14:textId="54AFC90C">
            <w:pPr>
              <w:rPr>
                <w:rFonts w:ascii="Arial" w:hAnsi="Arial" w:eastAsia="Arial" w:cs="Arial"/>
                <w:sz w:val="28"/>
              </w:rPr>
            </w:pPr>
            <w:r w:rsidRPr="00573D29">
              <w:rPr>
                <w:rFonts w:ascii="Arial" w:hAnsi="Arial" w:eastAsia="Arial" w:cs="Arial"/>
                <w:sz w:val="28"/>
              </w:rPr>
              <w:t xml:space="preserve">Board of Examiners </w:t>
            </w:r>
          </w:p>
          <w:p w:rsidR="56387551" w:rsidP="1E23324E" w:rsidRDefault="1E23324E" w14:paraId="46F5B1C4" w14:textId="1E67916B">
            <w:pPr>
              <w:rPr>
                <w:rFonts w:ascii="Arial" w:hAnsi="Arial" w:eastAsia="Arial" w:cs="Arial"/>
              </w:rPr>
            </w:pPr>
            <w:r w:rsidRPr="00573D29">
              <w:rPr>
                <w:rFonts w:ascii="Arial" w:hAnsi="Arial" w:eastAsia="Arial" w:cs="Arial"/>
                <w:sz w:val="28"/>
              </w:rPr>
              <w:t>Terms of Reference</w:t>
            </w:r>
          </w:p>
        </w:tc>
      </w:tr>
    </w:tbl>
    <w:p w:rsidRPr="00C529E1" w:rsidR="006D3807" w:rsidP="1E23324E" w:rsidRDefault="006D3807" w14:paraId="328C6C6D" w14:textId="579607EA">
      <w:pPr>
        <w:spacing w:after="0" w:line="240" w:lineRule="auto"/>
        <w:rPr>
          <w:rFonts w:ascii="Calibri" w:hAnsi="Calibri" w:eastAsia="Calibri" w:cs="Calibri"/>
        </w:rPr>
      </w:pPr>
    </w:p>
    <w:p w:rsidRPr="009847AF" w:rsidR="00AF562E" w:rsidP="1E23324E" w:rsidRDefault="1E23324E" w14:paraId="37C63BCE" w14:textId="5A524DCC">
      <w:pPr>
        <w:pStyle w:val="NoSpacing"/>
        <w:rPr>
          <w:rFonts w:ascii="Arial" w:hAnsi="Arial" w:cs="Arial"/>
        </w:rPr>
      </w:pPr>
      <w:r w:rsidRPr="1E23324E">
        <w:rPr>
          <w:rFonts w:ascii="Arial" w:hAnsi="Arial" w:cs="Arial"/>
        </w:rPr>
        <w:t>The Board of Examiners has delegated power from the Academic Board to determine progression and award of students.</w:t>
      </w:r>
    </w:p>
    <w:p w:rsidRPr="009847AF" w:rsidR="00AF562E" w:rsidP="1E23324E" w:rsidRDefault="00AF562E" w14:paraId="0A37501D" w14:textId="77777777">
      <w:pPr>
        <w:pStyle w:val="NoSpacing"/>
        <w:rPr>
          <w:rFonts w:ascii="Arial" w:hAnsi="Arial" w:cs="Arial"/>
        </w:rPr>
      </w:pPr>
    </w:p>
    <w:p w:rsidRPr="009847AF" w:rsidR="00AF562E" w:rsidP="1E23324E" w:rsidRDefault="1E23324E" w14:paraId="2728BC8B" w14:textId="30C122EC">
      <w:pPr>
        <w:pStyle w:val="NoSpacing"/>
        <w:rPr>
          <w:rFonts w:ascii="Arial" w:hAnsi="Arial" w:cs="Arial"/>
        </w:rPr>
      </w:pPr>
      <w:r w:rsidRPr="1E23324E">
        <w:rPr>
          <w:rFonts w:ascii="Arial" w:hAnsi="Arial" w:cs="Arial"/>
        </w:rPr>
        <w:t>Membership and Terms of Reference for the Board of Examiners must be agreed by Academic Board on an annual basis at the start of the academic year.</w:t>
      </w:r>
    </w:p>
    <w:p w:rsidRPr="009847AF" w:rsidR="00AF562E" w:rsidP="1E23324E" w:rsidRDefault="00AF562E" w14:paraId="5DAB6C7B" w14:textId="77777777">
      <w:pPr>
        <w:pStyle w:val="NoSpacing"/>
        <w:rPr>
          <w:rFonts w:ascii="Arial" w:hAnsi="Arial" w:cs="Arial"/>
        </w:rPr>
      </w:pPr>
    </w:p>
    <w:p w:rsidRPr="009847AF" w:rsidR="00AF562E" w:rsidP="008F4339" w:rsidRDefault="1E23324E" w14:paraId="067BD8A0" w14:textId="1FC73213">
      <w:pPr>
        <w:pStyle w:val="NoSpacing"/>
        <w:numPr>
          <w:ilvl w:val="0"/>
          <w:numId w:val="17"/>
        </w:numPr>
        <w:rPr>
          <w:rFonts w:ascii="Arial" w:hAnsi="Arial" w:cs="Arial"/>
          <w:b/>
          <w:bCs/>
        </w:rPr>
      </w:pPr>
      <w:r w:rsidRPr="1E23324E">
        <w:rPr>
          <w:rFonts w:ascii="Arial" w:hAnsi="Arial" w:cs="Arial"/>
          <w:b/>
          <w:bCs/>
        </w:rPr>
        <w:t>Membership</w:t>
      </w:r>
    </w:p>
    <w:p w:rsidRPr="009847AF" w:rsidR="00AF562E" w:rsidP="008F4339" w:rsidRDefault="008F4339" w14:paraId="02EB378F" w14:textId="4E897952">
      <w:pPr>
        <w:pStyle w:val="NoSpacing"/>
        <w:numPr>
          <w:ilvl w:val="1"/>
          <w:numId w:val="17"/>
        </w:numPr>
        <w:rPr>
          <w:rFonts w:ascii="Arial" w:hAnsi="Arial" w:cs="Arial"/>
        </w:rPr>
      </w:pPr>
      <w:r>
        <w:rPr>
          <w:rFonts w:ascii="Arial" w:hAnsi="Arial" w:cs="Arial"/>
        </w:rPr>
        <w:t>Membership of the Board of Examiner shall be as follows:</w:t>
      </w:r>
    </w:p>
    <w:p w:rsidRPr="009847AF" w:rsidR="00AF562E" w:rsidP="02F96EDF" w:rsidRDefault="02F96EDF" w14:paraId="20F3B75F" w14:textId="774526F0">
      <w:pPr>
        <w:pStyle w:val="NoSpacing"/>
        <w:numPr>
          <w:ilvl w:val="1"/>
          <w:numId w:val="3"/>
        </w:numPr>
        <w:rPr>
          <w:rFonts w:ascii="Arial" w:hAnsi="Arial" w:cs="Arial"/>
        </w:rPr>
      </w:pPr>
      <w:r w:rsidRPr="02F96EDF">
        <w:rPr>
          <w:rFonts w:ascii="Arial" w:hAnsi="Arial" w:cs="Arial"/>
        </w:rPr>
        <w:t xml:space="preserve">Chair – usually the Head of Higher Skills </w:t>
      </w:r>
    </w:p>
    <w:p w:rsidRPr="009847AF" w:rsidR="00D82227" w:rsidP="02F96EDF" w:rsidRDefault="02F96EDF" w14:paraId="2CD81A7D" w14:textId="0941FC96">
      <w:pPr>
        <w:pStyle w:val="NoSpacing"/>
        <w:numPr>
          <w:ilvl w:val="1"/>
          <w:numId w:val="3"/>
        </w:numPr>
        <w:rPr>
          <w:rFonts w:ascii="Arial" w:hAnsi="Arial" w:cs="Arial"/>
        </w:rPr>
      </w:pPr>
      <w:r w:rsidRPr="02F96EDF">
        <w:rPr>
          <w:rFonts w:ascii="Arial" w:hAnsi="Arial" w:cs="Arial"/>
        </w:rPr>
        <w:t>Secretary to the Board - usually the Quality Systems Manager</w:t>
      </w:r>
    </w:p>
    <w:p w:rsidRPr="009847AF" w:rsidR="00AF562E" w:rsidP="02F96EDF" w:rsidRDefault="02F96EDF" w14:paraId="7BFC6872" w14:textId="17F2AADA">
      <w:pPr>
        <w:pStyle w:val="NoSpacing"/>
        <w:numPr>
          <w:ilvl w:val="1"/>
          <w:numId w:val="3"/>
        </w:numPr>
        <w:rPr>
          <w:rFonts w:ascii="Arial" w:hAnsi="Arial" w:cs="Arial"/>
        </w:rPr>
      </w:pPr>
      <w:r w:rsidRPr="02F96EDF">
        <w:rPr>
          <w:rFonts w:ascii="Arial" w:hAnsi="Arial" w:cs="Arial"/>
        </w:rPr>
        <w:t>Minute-taker</w:t>
      </w:r>
    </w:p>
    <w:p w:rsidRPr="009847AF" w:rsidR="00AF562E" w:rsidP="02F96EDF" w:rsidRDefault="02F96EDF" w14:paraId="58DF8B87" w14:textId="7DD5CEE5">
      <w:pPr>
        <w:pStyle w:val="NoSpacing"/>
        <w:numPr>
          <w:ilvl w:val="1"/>
          <w:numId w:val="3"/>
        </w:numPr>
        <w:rPr>
          <w:rFonts w:ascii="Arial" w:hAnsi="Arial" w:cs="Arial"/>
        </w:rPr>
      </w:pPr>
      <w:r w:rsidRPr="02F96EDF">
        <w:rPr>
          <w:rFonts w:ascii="Arial" w:hAnsi="Arial" w:cs="Arial"/>
        </w:rPr>
        <w:t>All Programme leaders for the programmes being considered (or nominees)</w:t>
      </w:r>
    </w:p>
    <w:p w:rsidRPr="009847AF" w:rsidR="00AF562E" w:rsidP="02F96EDF" w:rsidRDefault="02F96EDF" w14:paraId="57A1ACBB" w14:textId="31B1BD93">
      <w:pPr>
        <w:pStyle w:val="NoSpacing"/>
        <w:numPr>
          <w:ilvl w:val="1"/>
          <w:numId w:val="3"/>
        </w:numPr>
        <w:rPr>
          <w:rFonts w:ascii="Arial" w:hAnsi="Arial" w:cs="Arial"/>
        </w:rPr>
      </w:pPr>
      <w:r w:rsidRPr="02F96EDF">
        <w:rPr>
          <w:rFonts w:ascii="Arial" w:hAnsi="Arial" w:cs="Arial"/>
        </w:rPr>
        <w:t>All external examiners for the programmes being considered</w:t>
      </w:r>
    </w:p>
    <w:p w:rsidR="1E23324E" w:rsidP="02F96EDF" w:rsidRDefault="02F96EDF" w14:paraId="1F7616A1" w14:textId="3AC7A717">
      <w:pPr>
        <w:pStyle w:val="NoSpacing"/>
        <w:numPr>
          <w:ilvl w:val="1"/>
          <w:numId w:val="3"/>
        </w:numPr>
      </w:pPr>
      <w:r w:rsidRPr="02F96EDF">
        <w:rPr>
          <w:rFonts w:ascii="Arial" w:hAnsi="Arial" w:cs="Arial"/>
        </w:rPr>
        <w:t>Chair of Extenuating Circumstances Panel</w:t>
      </w:r>
    </w:p>
    <w:p w:rsidR="1E23324E" w:rsidP="02F96EDF" w:rsidRDefault="02F96EDF" w14:paraId="7159B2CA" w14:textId="0E83A545">
      <w:pPr>
        <w:pStyle w:val="NoSpacing"/>
        <w:numPr>
          <w:ilvl w:val="1"/>
          <w:numId w:val="3"/>
        </w:numPr>
      </w:pPr>
      <w:r w:rsidRPr="02F96EDF">
        <w:rPr>
          <w:rFonts w:ascii="Arial" w:hAnsi="Arial" w:cs="Arial"/>
        </w:rPr>
        <w:t>Chair of Unfair Practice Hearings</w:t>
      </w:r>
    </w:p>
    <w:p w:rsidRPr="009847AF" w:rsidR="00AF562E" w:rsidP="02F96EDF" w:rsidRDefault="02F96EDF" w14:paraId="52BE34E2" w14:textId="21190579">
      <w:pPr>
        <w:pStyle w:val="NoSpacing"/>
        <w:numPr>
          <w:ilvl w:val="1"/>
          <w:numId w:val="3"/>
        </w:numPr>
        <w:rPr>
          <w:rFonts w:ascii="Arial" w:hAnsi="Arial" w:cs="Arial"/>
        </w:rPr>
      </w:pPr>
      <w:r w:rsidRPr="02F96EDF">
        <w:rPr>
          <w:rFonts w:ascii="Arial" w:hAnsi="Arial" w:cs="Arial"/>
        </w:rPr>
        <w:t>Open University Representative</w:t>
      </w:r>
    </w:p>
    <w:p w:rsidRPr="009847AF" w:rsidR="00522FED" w:rsidP="1E23324E" w:rsidRDefault="00522FED" w14:paraId="6A05A809" w14:textId="77777777">
      <w:pPr>
        <w:pStyle w:val="NoSpacing"/>
        <w:rPr>
          <w:rFonts w:ascii="Arial" w:hAnsi="Arial" w:cs="Arial"/>
        </w:rPr>
      </w:pPr>
    </w:p>
    <w:p w:rsidRPr="009847AF" w:rsidR="00E054AB" w:rsidP="008F4339" w:rsidRDefault="1E23324E" w14:paraId="7E63E1EC" w14:textId="45688D6A">
      <w:pPr>
        <w:pStyle w:val="NoSpacing"/>
        <w:numPr>
          <w:ilvl w:val="1"/>
          <w:numId w:val="17"/>
        </w:numPr>
        <w:rPr>
          <w:rFonts w:ascii="Arial" w:hAnsi="Arial" w:cs="Arial"/>
        </w:rPr>
      </w:pPr>
      <w:r w:rsidRPr="1E23324E">
        <w:rPr>
          <w:rFonts w:ascii="Arial" w:hAnsi="Arial" w:cs="Arial"/>
        </w:rPr>
        <w:t>No students may be nominated to be a member of, attend, or take part in, any Board of Examiner proceedings.</w:t>
      </w:r>
    </w:p>
    <w:p w:rsidRPr="009847AF" w:rsidR="00CB0117" w:rsidP="1E23324E" w:rsidRDefault="00CB0117" w14:paraId="5A39BBE3" w14:textId="77777777">
      <w:pPr>
        <w:pStyle w:val="NoSpacing"/>
        <w:rPr>
          <w:rFonts w:ascii="Arial" w:hAnsi="Arial" w:cs="Arial"/>
        </w:rPr>
      </w:pPr>
    </w:p>
    <w:p w:rsidRPr="009847AF" w:rsidR="00F13A82" w:rsidP="008F4339" w:rsidRDefault="1E23324E" w14:paraId="15BC4C63" w14:textId="6B5CD9C0">
      <w:pPr>
        <w:pStyle w:val="NoSpacing"/>
        <w:numPr>
          <w:ilvl w:val="1"/>
          <w:numId w:val="17"/>
        </w:numPr>
        <w:rPr>
          <w:rFonts w:ascii="Arial" w:hAnsi="Arial" w:cs="Arial"/>
        </w:rPr>
      </w:pPr>
      <w:r w:rsidRPr="1E23324E">
        <w:rPr>
          <w:rFonts w:ascii="Arial" w:hAnsi="Arial" w:cs="Arial"/>
        </w:rPr>
        <w:t>If the Head of Higher Skills is unavailable to Chair the meeting then another member of the University Centre Management Team or a suitable nominee may deputise, provided they are not directly involved in curriculum delivery or assessment for the programmes being considered.</w:t>
      </w:r>
    </w:p>
    <w:p w:rsidRPr="009847AF" w:rsidR="00F13A82" w:rsidP="1E23324E" w:rsidRDefault="00F13A82" w14:paraId="73CB3ED7" w14:textId="77777777">
      <w:pPr>
        <w:pStyle w:val="NoSpacing"/>
        <w:rPr>
          <w:rFonts w:ascii="Arial" w:hAnsi="Arial" w:cs="Arial"/>
        </w:rPr>
      </w:pPr>
    </w:p>
    <w:p w:rsidRPr="009847AF" w:rsidR="00847FD5" w:rsidP="008F4339" w:rsidRDefault="1E23324E" w14:paraId="2881B2A0" w14:textId="054C50A4">
      <w:pPr>
        <w:pStyle w:val="NoSpacing"/>
        <w:numPr>
          <w:ilvl w:val="1"/>
          <w:numId w:val="17"/>
        </w:numPr>
        <w:rPr>
          <w:rFonts w:ascii="Arial" w:hAnsi="Arial" w:cs="Arial"/>
        </w:rPr>
      </w:pPr>
      <w:r w:rsidRPr="1E23324E">
        <w:rPr>
          <w:rFonts w:ascii="Arial" w:hAnsi="Arial" w:cs="Arial"/>
        </w:rPr>
        <w:t>A member of the Board of Examiners must declare any personal interest, involvement or relationship with an assessed student to the Chair who will decide (in agreement with the Open University representative) the appropriate course of action.</w:t>
      </w:r>
    </w:p>
    <w:p w:rsidRPr="009847AF" w:rsidR="006C7D5D" w:rsidP="1E23324E" w:rsidRDefault="006C7D5D" w14:paraId="4EBB3693" w14:textId="77777777">
      <w:pPr>
        <w:pStyle w:val="NoSpacing"/>
        <w:rPr>
          <w:rFonts w:ascii="Arial" w:hAnsi="Arial" w:cs="Arial"/>
        </w:rPr>
      </w:pPr>
    </w:p>
    <w:p w:rsidRPr="009847AF" w:rsidR="006C7D5D" w:rsidP="02F96EDF" w:rsidRDefault="02F96EDF" w14:paraId="7F297D84" w14:textId="3B7FF634">
      <w:pPr>
        <w:pStyle w:val="NoSpacing"/>
        <w:numPr>
          <w:ilvl w:val="1"/>
          <w:numId w:val="17"/>
        </w:numPr>
        <w:rPr>
          <w:rFonts w:ascii="Arial" w:hAnsi="Arial" w:cs="Arial"/>
        </w:rPr>
      </w:pPr>
      <w:r w:rsidRPr="02F96EDF">
        <w:rPr>
          <w:rFonts w:ascii="Arial" w:hAnsi="Arial" w:cs="Arial"/>
        </w:rPr>
        <w:t>The Chair must recuse him/herself from consideration of a programme cohort where a conflict is present relating to an interest, involvement or relationship with an assessed student. A suitable nominated member must cover the Chair’s duties for the relevant programme. Where this occurs, it will be minuted.</w:t>
      </w:r>
    </w:p>
    <w:p w:rsidRPr="009847AF" w:rsidR="006C7D5D" w:rsidP="1E23324E" w:rsidRDefault="006C7D5D" w14:paraId="16FB45D1" w14:textId="77777777">
      <w:pPr>
        <w:pStyle w:val="NoSpacing"/>
        <w:rPr>
          <w:rFonts w:ascii="Arial" w:hAnsi="Arial" w:cs="Arial"/>
        </w:rPr>
      </w:pPr>
    </w:p>
    <w:p w:rsidRPr="009847AF" w:rsidR="006C7D5D" w:rsidP="008F4339" w:rsidRDefault="1E23324E" w14:paraId="40B222FD" w14:textId="5D342333">
      <w:pPr>
        <w:pStyle w:val="NoSpacing"/>
        <w:numPr>
          <w:ilvl w:val="0"/>
          <w:numId w:val="17"/>
        </w:numPr>
        <w:rPr>
          <w:rFonts w:ascii="Arial" w:hAnsi="Arial" w:cs="Arial"/>
          <w:b/>
          <w:bCs/>
        </w:rPr>
      </w:pPr>
      <w:r w:rsidRPr="1E23324E">
        <w:rPr>
          <w:rFonts w:ascii="Arial" w:hAnsi="Arial" w:cs="Arial"/>
          <w:b/>
          <w:bCs/>
        </w:rPr>
        <w:t>Quorum</w:t>
      </w:r>
    </w:p>
    <w:p w:rsidRPr="009847AF" w:rsidR="00CB0117" w:rsidP="1E23324E" w:rsidRDefault="00CB0117" w14:paraId="41C8F396" w14:textId="77777777">
      <w:pPr>
        <w:pStyle w:val="NoSpacing"/>
        <w:rPr>
          <w:rFonts w:ascii="Arial" w:hAnsi="Arial" w:cs="Arial"/>
        </w:rPr>
      </w:pPr>
    </w:p>
    <w:p w:rsidRPr="009847AF" w:rsidR="006C7D5D" w:rsidP="008F4339" w:rsidRDefault="1E23324E" w14:paraId="3440AC61" w14:textId="4ECEAA85">
      <w:pPr>
        <w:pStyle w:val="NoSpacing"/>
        <w:numPr>
          <w:ilvl w:val="1"/>
          <w:numId w:val="17"/>
        </w:numPr>
        <w:rPr>
          <w:rFonts w:ascii="Arial" w:hAnsi="Arial" w:cs="Arial"/>
        </w:rPr>
      </w:pPr>
      <w:r w:rsidRPr="1E23324E">
        <w:rPr>
          <w:rFonts w:ascii="Arial" w:hAnsi="Arial" w:cs="Arial"/>
        </w:rPr>
        <w:t>All members (or agreed, nominated deputies) must be present for the meeting to be Quorate.</w:t>
      </w:r>
    </w:p>
    <w:p w:rsidRPr="009847AF" w:rsidR="006C7D5D" w:rsidP="1E23324E" w:rsidRDefault="006C7D5D" w14:paraId="3021C5AE" w14:textId="77777777">
      <w:pPr>
        <w:pStyle w:val="NoSpacing"/>
        <w:rPr>
          <w:rFonts w:ascii="Arial" w:hAnsi="Arial" w:cs="Arial"/>
        </w:rPr>
      </w:pPr>
    </w:p>
    <w:p w:rsidR="1E23324E" w:rsidP="008F4339" w:rsidRDefault="1E23324E" w14:paraId="30D5E1E7" w14:textId="54D94D7D">
      <w:pPr>
        <w:pStyle w:val="NoSpacing"/>
        <w:numPr>
          <w:ilvl w:val="1"/>
          <w:numId w:val="17"/>
        </w:numPr>
        <w:rPr>
          <w:rFonts w:ascii="Arial" w:hAnsi="Arial" w:cs="Arial"/>
        </w:rPr>
      </w:pPr>
      <w:r w:rsidRPr="1E23324E">
        <w:rPr>
          <w:rFonts w:ascii="Arial" w:hAnsi="Arial" w:cs="Arial"/>
        </w:rPr>
        <w:t>Where an external examiner cannot attend the meeting due to an unforeseen circumstance permission may be given by the Open University to hear their report remotely, for example by telephone or Skype. Where an external examiner’s circumstance is such that it prevents them from delivering their report remotely, written confirmation may be accepted by the Board that they have had the opportunity to review a sample of assessed work and that they have no concerns to raise. In all such situations this needs to be agreed in advance with the OU Representative.</w:t>
      </w:r>
    </w:p>
    <w:p w:rsidR="1E23324E" w:rsidP="1E23324E" w:rsidRDefault="1E23324E" w14:paraId="0DF9F91C" w14:textId="51561EEE">
      <w:pPr>
        <w:pStyle w:val="NoSpacing"/>
        <w:rPr>
          <w:rFonts w:ascii="Arial" w:hAnsi="Arial" w:cs="Arial"/>
        </w:rPr>
      </w:pPr>
    </w:p>
    <w:p w:rsidR="00573D29" w:rsidP="008F4339" w:rsidRDefault="00573D29" w14:paraId="3AFF8D97" w14:textId="17B213D0">
      <w:pPr>
        <w:pStyle w:val="NoSpacing"/>
        <w:numPr>
          <w:ilvl w:val="0"/>
          <w:numId w:val="17"/>
        </w:numPr>
        <w:rPr>
          <w:rFonts w:ascii="Arial" w:hAnsi="Arial" w:cs="Arial"/>
          <w:b/>
          <w:bCs/>
        </w:rPr>
      </w:pPr>
      <w:r>
        <w:rPr>
          <w:rFonts w:ascii="Arial" w:hAnsi="Arial" w:cs="Arial"/>
          <w:b/>
          <w:bCs/>
        </w:rPr>
        <w:lastRenderedPageBreak/>
        <w:t>Schedule</w:t>
      </w:r>
    </w:p>
    <w:p w:rsidR="00EF2762" w:rsidP="00EF2762" w:rsidRDefault="00EF2762" w14:paraId="6D3B3973" w14:textId="77777777">
      <w:pPr>
        <w:pStyle w:val="NoSpacing"/>
        <w:ind w:left="720"/>
        <w:rPr>
          <w:rFonts w:ascii="Arial" w:hAnsi="Arial" w:cs="Arial"/>
          <w:b/>
          <w:bCs/>
        </w:rPr>
      </w:pPr>
    </w:p>
    <w:p w:rsidRPr="00EF2762" w:rsidR="00573D29" w:rsidP="00573D29" w:rsidRDefault="00573D29" w14:paraId="148ADB52" w14:textId="0ED5FB3C">
      <w:pPr>
        <w:pStyle w:val="NoSpacing"/>
        <w:numPr>
          <w:ilvl w:val="1"/>
          <w:numId w:val="17"/>
        </w:numPr>
        <w:rPr>
          <w:rFonts w:ascii="Arial" w:hAnsi="Arial" w:cs="Arial"/>
          <w:bCs/>
        </w:rPr>
      </w:pPr>
      <w:r w:rsidRPr="00EF2762">
        <w:rPr>
          <w:rFonts w:ascii="Arial" w:hAnsi="Arial" w:cs="Arial"/>
          <w:bCs/>
        </w:rPr>
        <w:t>The Bo</w:t>
      </w:r>
      <w:r w:rsidR="00AE009B">
        <w:rPr>
          <w:rFonts w:ascii="Arial" w:hAnsi="Arial" w:cs="Arial"/>
          <w:bCs/>
        </w:rPr>
        <w:t>ard of Examiners shall meet after the end of each</w:t>
      </w:r>
      <w:r w:rsidRPr="00EF2762">
        <w:rPr>
          <w:rFonts w:ascii="Arial" w:hAnsi="Arial" w:cs="Arial"/>
          <w:bCs/>
        </w:rPr>
        <w:t xml:space="preserve"> semester and, where required, a reconvened meeting </w:t>
      </w:r>
      <w:r w:rsidR="003A793C">
        <w:rPr>
          <w:rFonts w:ascii="Arial" w:hAnsi="Arial" w:cs="Arial"/>
          <w:bCs/>
        </w:rPr>
        <w:t>shall be held a</w:t>
      </w:r>
      <w:r w:rsidR="00486F64">
        <w:rPr>
          <w:rFonts w:ascii="Arial" w:hAnsi="Arial" w:cs="Arial"/>
          <w:bCs/>
        </w:rPr>
        <w:t>f</w:t>
      </w:r>
      <w:r w:rsidR="003A793C">
        <w:rPr>
          <w:rFonts w:ascii="Arial" w:hAnsi="Arial" w:cs="Arial"/>
          <w:bCs/>
        </w:rPr>
        <w:t>t</w:t>
      </w:r>
      <w:r w:rsidR="00486F64">
        <w:rPr>
          <w:rFonts w:ascii="Arial" w:hAnsi="Arial" w:cs="Arial"/>
          <w:bCs/>
        </w:rPr>
        <w:t>er</w:t>
      </w:r>
      <w:r w:rsidR="003A793C">
        <w:rPr>
          <w:rFonts w:ascii="Arial" w:hAnsi="Arial" w:cs="Arial"/>
          <w:bCs/>
        </w:rPr>
        <w:t xml:space="preserve"> the end of the summer</w:t>
      </w:r>
      <w:r w:rsidR="00486F64">
        <w:rPr>
          <w:rFonts w:ascii="Arial" w:hAnsi="Arial" w:cs="Arial"/>
          <w:bCs/>
        </w:rPr>
        <w:t xml:space="preserve">. </w:t>
      </w:r>
    </w:p>
    <w:p w:rsidR="00EF2762" w:rsidP="00EF2762" w:rsidRDefault="00EF2762" w14:paraId="7035D14E" w14:textId="77777777">
      <w:pPr>
        <w:pStyle w:val="NoSpacing"/>
        <w:ind w:left="1080"/>
        <w:rPr>
          <w:rFonts w:ascii="Arial" w:hAnsi="Arial" w:cs="Arial"/>
          <w:b/>
          <w:bCs/>
        </w:rPr>
      </w:pPr>
    </w:p>
    <w:p w:rsidRPr="009847AF" w:rsidR="00AF562E" w:rsidP="008F4339" w:rsidRDefault="1E23324E" w14:paraId="35590C44" w14:textId="73345DCE">
      <w:pPr>
        <w:pStyle w:val="NoSpacing"/>
        <w:numPr>
          <w:ilvl w:val="0"/>
          <w:numId w:val="17"/>
        </w:numPr>
        <w:rPr>
          <w:rFonts w:ascii="Arial" w:hAnsi="Arial" w:cs="Arial"/>
          <w:b/>
          <w:bCs/>
        </w:rPr>
      </w:pPr>
      <w:r w:rsidRPr="1E23324E">
        <w:rPr>
          <w:rFonts w:ascii="Arial" w:hAnsi="Arial" w:cs="Arial"/>
          <w:b/>
          <w:bCs/>
        </w:rPr>
        <w:t>Terms of Reference</w:t>
      </w:r>
    </w:p>
    <w:p w:rsidRPr="009847AF" w:rsidR="00CB0117" w:rsidP="1E23324E" w:rsidRDefault="00CB0117" w14:paraId="72A3D3EC" w14:textId="77777777">
      <w:pPr>
        <w:pStyle w:val="NoSpacing"/>
        <w:rPr>
          <w:rFonts w:ascii="Arial" w:hAnsi="Arial" w:cs="Arial"/>
        </w:rPr>
      </w:pPr>
    </w:p>
    <w:p w:rsidRPr="009847AF" w:rsidR="00CB0117" w:rsidP="00AB74A2" w:rsidRDefault="1E23324E" w14:paraId="569B9839" w14:textId="2D954CC7">
      <w:pPr>
        <w:pStyle w:val="NoSpacing"/>
        <w:numPr>
          <w:ilvl w:val="1"/>
          <w:numId w:val="17"/>
        </w:numPr>
      </w:pPr>
      <w:r w:rsidRPr="1E23324E">
        <w:rPr>
          <w:rFonts w:ascii="Arial" w:hAnsi="Arial" w:cs="Arial"/>
        </w:rPr>
        <w:t xml:space="preserve">To have overall responsibility for assessment which contributes to the recommendation of award in accordance with the Open University regulations (and if applicable any professional, statutory or regulatory body) for the validated programme of study. </w:t>
      </w:r>
    </w:p>
    <w:p w:rsidRPr="009847AF" w:rsidR="00CB0117" w:rsidP="00AB74A2" w:rsidRDefault="00CB0117" w14:paraId="33BEF041" w14:textId="0CE2E3A5">
      <w:pPr>
        <w:pStyle w:val="NoSpacing"/>
        <w:rPr>
          <w:rFonts w:ascii="Arial" w:hAnsi="Arial" w:cs="Arial"/>
        </w:rPr>
      </w:pPr>
    </w:p>
    <w:p w:rsidRPr="009847AF" w:rsidR="00CB0117" w:rsidP="00AB74A2" w:rsidRDefault="1E23324E" w14:paraId="79320046" w14:textId="6B70EAFB">
      <w:pPr>
        <w:pStyle w:val="NoSpacing"/>
        <w:numPr>
          <w:ilvl w:val="1"/>
          <w:numId w:val="17"/>
        </w:numPr>
      </w:pPr>
      <w:r w:rsidRPr="1E23324E">
        <w:rPr>
          <w:rFonts w:ascii="Arial" w:hAnsi="Arial" w:cs="Arial"/>
        </w:rPr>
        <w:t>To recommend conferment of Open University awards upon students who the Board judges to have fulfilled the objectives of the approved programme of study and achieved the standard required for the award</w:t>
      </w:r>
      <w:r w:rsidRPr="1E23324E">
        <w:rPr>
          <w:rFonts w:ascii="Arial" w:hAnsi="Arial" w:cs="Arial"/>
          <w:i/>
          <w:iCs/>
        </w:rPr>
        <w:t>.</w:t>
      </w:r>
    </w:p>
    <w:p w:rsidRPr="009847AF" w:rsidR="00D82227" w:rsidP="00AB74A2" w:rsidRDefault="00D82227" w14:paraId="4025A85C" w14:textId="77777777">
      <w:pPr>
        <w:pStyle w:val="NoSpacing"/>
        <w:ind w:left="360"/>
        <w:rPr>
          <w:rFonts w:ascii="Arial" w:hAnsi="Arial" w:cs="Arial"/>
        </w:rPr>
      </w:pPr>
    </w:p>
    <w:p w:rsidRPr="009847AF" w:rsidR="00CB0117" w:rsidP="00AB74A2" w:rsidRDefault="1E23324E" w14:paraId="08963014" w14:textId="77C847E1">
      <w:pPr>
        <w:pStyle w:val="NoSpacing"/>
        <w:numPr>
          <w:ilvl w:val="1"/>
          <w:numId w:val="17"/>
        </w:numPr>
        <w:rPr>
          <w:rFonts w:ascii="Arial" w:hAnsi="Arial" w:cs="Arial"/>
        </w:rPr>
      </w:pPr>
      <w:r w:rsidRPr="1E23324E">
        <w:rPr>
          <w:rFonts w:ascii="Arial" w:hAnsi="Arial" w:cs="Arial"/>
        </w:rPr>
        <w:t xml:space="preserve">To receive final assessment marks, prepared and checked at Pre-Board meetings, verifying and confirming the accuracy and validity of the marks. </w:t>
      </w:r>
    </w:p>
    <w:p w:rsidRPr="009847AF" w:rsidR="00D82227" w:rsidP="00AB74A2" w:rsidRDefault="00D82227" w14:paraId="7FB89F58" w14:textId="77777777">
      <w:pPr>
        <w:pStyle w:val="NoSpacing"/>
        <w:ind w:left="360"/>
        <w:rPr>
          <w:rFonts w:ascii="Arial" w:hAnsi="Arial" w:cs="Arial"/>
        </w:rPr>
      </w:pPr>
    </w:p>
    <w:p w:rsidRPr="009847AF" w:rsidR="00CB0117" w:rsidP="00AB74A2" w:rsidRDefault="1E23324E" w14:paraId="46E88A39" w14:textId="6A340639">
      <w:pPr>
        <w:pStyle w:val="NoSpacing"/>
        <w:numPr>
          <w:ilvl w:val="1"/>
          <w:numId w:val="17"/>
        </w:numPr>
        <w:rPr>
          <w:rFonts w:ascii="Arial" w:hAnsi="Arial" w:cs="Arial"/>
        </w:rPr>
      </w:pPr>
      <w:r w:rsidRPr="1E23324E">
        <w:rPr>
          <w:rFonts w:ascii="Arial" w:hAnsi="Arial" w:cs="Arial"/>
        </w:rPr>
        <w:t>To confirm arrangements for reassessment where applicable.</w:t>
      </w:r>
    </w:p>
    <w:p w:rsidRPr="009847AF" w:rsidR="00D82227" w:rsidP="00AB74A2" w:rsidRDefault="00D82227" w14:paraId="68C5EF93" w14:textId="77777777">
      <w:pPr>
        <w:pStyle w:val="NoSpacing"/>
        <w:ind w:left="360"/>
        <w:rPr>
          <w:rFonts w:ascii="Arial" w:hAnsi="Arial" w:cs="Arial"/>
        </w:rPr>
      </w:pPr>
    </w:p>
    <w:p w:rsidRPr="009847AF" w:rsidR="00590925" w:rsidP="00AB74A2" w:rsidRDefault="1E23324E" w14:paraId="2362E75E" w14:textId="0A15A7FB">
      <w:pPr>
        <w:pStyle w:val="NoSpacing"/>
        <w:numPr>
          <w:ilvl w:val="1"/>
          <w:numId w:val="17"/>
        </w:numPr>
        <w:rPr>
          <w:rFonts w:ascii="Arial" w:hAnsi="Arial" w:cs="Arial"/>
        </w:rPr>
      </w:pPr>
      <w:r w:rsidRPr="1E23324E">
        <w:rPr>
          <w:rFonts w:ascii="Arial" w:hAnsi="Arial" w:cs="Arial"/>
        </w:rPr>
        <w:t>To confirm that the appropriate quality assurance mechanisms underpin assessment practices and the qualification processes.</w:t>
      </w:r>
    </w:p>
    <w:p w:rsidRPr="009847AF" w:rsidR="00D82227" w:rsidP="00AB74A2" w:rsidRDefault="00D82227" w14:paraId="0C84B6F1" w14:textId="77777777">
      <w:pPr>
        <w:pStyle w:val="NoSpacing"/>
        <w:ind w:left="360"/>
        <w:rPr>
          <w:rFonts w:ascii="Arial" w:hAnsi="Arial" w:cs="Arial"/>
        </w:rPr>
      </w:pPr>
    </w:p>
    <w:p w:rsidRPr="009847AF" w:rsidR="00590925" w:rsidP="0030149F" w:rsidRDefault="1E23324E" w14:paraId="69ED33DF" w14:textId="45D59537">
      <w:pPr>
        <w:pStyle w:val="NoSpacing"/>
        <w:numPr>
          <w:ilvl w:val="1"/>
          <w:numId w:val="17"/>
        </w:numPr>
        <w:rPr>
          <w:rFonts w:ascii="Arial" w:hAnsi="Arial" w:cs="Arial"/>
        </w:rPr>
      </w:pPr>
      <w:r w:rsidRPr="1E23324E">
        <w:rPr>
          <w:rFonts w:ascii="Arial" w:hAnsi="Arial" w:cs="Arial"/>
        </w:rPr>
        <w:t>To confirm there is confidence that the student cohorts have met threshold academic standards for eligibility of the award.</w:t>
      </w:r>
    </w:p>
    <w:p w:rsidRPr="009847AF" w:rsidR="00D82227" w:rsidP="00AB74A2" w:rsidRDefault="00D82227" w14:paraId="5A6AFB8A" w14:textId="77777777">
      <w:pPr>
        <w:pStyle w:val="NoSpacing"/>
        <w:ind w:left="360"/>
        <w:rPr>
          <w:rFonts w:ascii="Arial" w:hAnsi="Arial" w:cs="Arial"/>
        </w:rPr>
      </w:pPr>
    </w:p>
    <w:p w:rsidRPr="009847AF" w:rsidR="00AF562E" w:rsidP="0030149F" w:rsidRDefault="1E23324E" w14:paraId="1E732DD3" w14:textId="14C26541">
      <w:pPr>
        <w:pStyle w:val="NoSpacing"/>
        <w:numPr>
          <w:ilvl w:val="1"/>
          <w:numId w:val="17"/>
        </w:numPr>
        <w:rPr>
          <w:rFonts w:ascii="Arial" w:hAnsi="Arial" w:cs="Arial"/>
        </w:rPr>
      </w:pPr>
      <w:r w:rsidRPr="1E23324E">
        <w:rPr>
          <w:rFonts w:ascii="Arial" w:hAnsi="Arial" w:cs="Arial"/>
        </w:rPr>
        <w:t>To uphold the confidentiality of the proceedings and ensure all confidential papers are received by the Secretary at the close of the Board.</w:t>
      </w:r>
    </w:p>
    <w:p w:rsidRPr="009847AF" w:rsidR="00D82227" w:rsidP="00AB74A2" w:rsidRDefault="00D82227" w14:paraId="5540BB9E" w14:textId="77777777">
      <w:pPr>
        <w:pStyle w:val="NoSpacing"/>
        <w:ind w:left="360"/>
        <w:rPr>
          <w:rFonts w:ascii="Arial" w:hAnsi="Arial" w:cs="Arial"/>
        </w:rPr>
      </w:pPr>
    </w:p>
    <w:p w:rsidRPr="009847AF" w:rsidR="00D04377" w:rsidP="0030149F" w:rsidRDefault="1E23324E" w14:paraId="33516870" w14:textId="1BDDB4CC">
      <w:pPr>
        <w:pStyle w:val="NoSpacing"/>
        <w:numPr>
          <w:ilvl w:val="1"/>
          <w:numId w:val="17"/>
        </w:numPr>
        <w:rPr>
          <w:rFonts w:ascii="Arial" w:hAnsi="Arial" w:cs="Arial"/>
        </w:rPr>
      </w:pPr>
      <w:r w:rsidRPr="1E23324E">
        <w:rPr>
          <w:rFonts w:ascii="Arial" w:hAnsi="Arial" w:cs="Arial"/>
        </w:rPr>
        <w:t>To devolve oversight of extenuating circumstances and academic misconduct to the appropriate individual(s) and/or sub-groups, and to receive reports from each.</w:t>
      </w:r>
    </w:p>
    <w:p w:rsidRPr="009847AF" w:rsidR="00C4794B" w:rsidP="1E23324E" w:rsidRDefault="00C4794B" w14:paraId="0D0B940D" w14:textId="77777777">
      <w:pPr>
        <w:pStyle w:val="NoSpacing"/>
        <w:rPr>
          <w:rFonts w:ascii="Arial" w:hAnsi="Arial" w:cs="Arial"/>
        </w:rPr>
      </w:pPr>
    </w:p>
    <w:p w:rsidRPr="003D1498" w:rsidR="003D1498" w:rsidP="0030149F" w:rsidRDefault="1E23324E" w14:paraId="3F989A2D" w14:textId="2F63ECCC">
      <w:pPr>
        <w:pStyle w:val="NoSpacing"/>
        <w:numPr>
          <w:ilvl w:val="0"/>
          <w:numId w:val="17"/>
        </w:numPr>
        <w:rPr>
          <w:rFonts w:ascii="Arial" w:hAnsi="Arial" w:cs="Arial"/>
          <w:b/>
          <w:bCs/>
        </w:rPr>
      </w:pPr>
      <w:r w:rsidRPr="1E23324E">
        <w:rPr>
          <w:rFonts w:ascii="Arial" w:hAnsi="Arial" w:cs="Arial"/>
          <w:b/>
          <w:bCs/>
        </w:rPr>
        <w:t>The Chair</w:t>
      </w:r>
    </w:p>
    <w:p w:rsidR="003D1498" w:rsidP="1E23324E" w:rsidRDefault="003D1498" w14:paraId="5C5F9221" w14:textId="77777777">
      <w:pPr>
        <w:pStyle w:val="NoSpacing"/>
        <w:rPr>
          <w:rFonts w:ascii="Arial" w:hAnsi="Arial" w:cs="Arial"/>
        </w:rPr>
      </w:pPr>
    </w:p>
    <w:p w:rsidRPr="009847AF" w:rsidR="00AF562E" w:rsidP="1E23324E" w:rsidRDefault="1E23324E" w14:paraId="5F76EFA9" w14:textId="77777777">
      <w:pPr>
        <w:pStyle w:val="NoSpacing"/>
        <w:rPr>
          <w:rFonts w:ascii="Arial" w:hAnsi="Arial" w:cs="Arial"/>
          <w:i/>
          <w:iCs/>
        </w:rPr>
      </w:pPr>
      <w:r w:rsidRPr="1E23324E">
        <w:rPr>
          <w:rFonts w:ascii="Arial" w:hAnsi="Arial" w:cs="Arial"/>
          <w:i/>
          <w:iCs/>
        </w:rPr>
        <w:t>The Chair must:</w:t>
      </w:r>
    </w:p>
    <w:p w:rsidRPr="009847AF" w:rsidR="00AF562E" w:rsidP="1E23324E" w:rsidRDefault="00AF562E" w14:paraId="0E27B00A" w14:textId="77777777">
      <w:pPr>
        <w:pStyle w:val="NoSpacing"/>
        <w:rPr>
          <w:rFonts w:ascii="Arial" w:hAnsi="Arial" w:cs="Arial"/>
        </w:rPr>
      </w:pPr>
    </w:p>
    <w:p w:rsidRPr="009847AF" w:rsidR="00522FED" w:rsidP="00180A42" w:rsidRDefault="1E23324E" w14:paraId="41FC752D" w14:textId="672F10B0">
      <w:pPr>
        <w:pStyle w:val="NoSpacing"/>
        <w:numPr>
          <w:ilvl w:val="1"/>
          <w:numId w:val="17"/>
        </w:numPr>
        <w:rPr>
          <w:rFonts w:ascii="Arial" w:hAnsi="Arial" w:cs="Arial"/>
        </w:rPr>
      </w:pPr>
      <w:r w:rsidRPr="1E23324E">
        <w:rPr>
          <w:rFonts w:ascii="Arial" w:hAnsi="Arial" w:cs="Arial"/>
        </w:rPr>
        <w:t>Ensure that the Board of Examiners is quorate (including External Examiner representation) to enable the Board of Examiners to fulfil its Terms of Reference.</w:t>
      </w:r>
    </w:p>
    <w:p w:rsidRPr="009847AF" w:rsidR="00D82227" w:rsidP="1E23324E" w:rsidRDefault="00D82227" w14:paraId="228EB09A" w14:textId="77777777">
      <w:pPr>
        <w:pStyle w:val="NoSpacing"/>
        <w:ind w:left="720"/>
        <w:rPr>
          <w:rFonts w:ascii="Arial" w:hAnsi="Arial" w:cs="Arial"/>
        </w:rPr>
      </w:pPr>
    </w:p>
    <w:p w:rsidRPr="009847AF" w:rsidR="00D6543A" w:rsidP="00180A42" w:rsidRDefault="1E23324E" w14:paraId="4773437A" w14:textId="02495419">
      <w:pPr>
        <w:pStyle w:val="NoSpacing"/>
        <w:numPr>
          <w:ilvl w:val="1"/>
          <w:numId w:val="17"/>
        </w:numPr>
        <w:rPr>
          <w:rFonts w:ascii="Arial" w:hAnsi="Arial" w:cs="Arial"/>
        </w:rPr>
      </w:pPr>
      <w:r w:rsidRPr="1E23324E">
        <w:rPr>
          <w:rFonts w:ascii="Arial" w:hAnsi="Arial" w:cs="Arial"/>
        </w:rPr>
        <w:t>Ensure that all External Examiners have been notified that they have a right to attend the meeting and make their recommendations to the Board of Examiners.</w:t>
      </w:r>
    </w:p>
    <w:p w:rsidRPr="009847AF" w:rsidR="00D82227" w:rsidP="1E23324E" w:rsidRDefault="00D82227" w14:paraId="5719C309" w14:textId="77777777">
      <w:pPr>
        <w:pStyle w:val="NoSpacing"/>
        <w:ind w:left="720"/>
        <w:rPr>
          <w:rFonts w:ascii="Arial" w:hAnsi="Arial" w:cs="Arial"/>
        </w:rPr>
      </w:pPr>
    </w:p>
    <w:p w:rsidRPr="009847AF" w:rsidR="00BC6F20" w:rsidP="00180A42" w:rsidRDefault="1E23324E" w14:paraId="54980D03" w14:textId="2D5F7142">
      <w:pPr>
        <w:pStyle w:val="NoSpacing"/>
        <w:numPr>
          <w:ilvl w:val="1"/>
          <w:numId w:val="17"/>
        </w:numPr>
        <w:rPr>
          <w:rFonts w:ascii="Arial" w:hAnsi="Arial" w:cs="Arial"/>
        </w:rPr>
      </w:pPr>
      <w:r w:rsidRPr="1E23324E">
        <w:rPr>
          <w:rFonts w:ascii="Arial" w:hAnsi="Arial" w:cs="Arial"/>
        </w:rPr>
        <w:t xml:space="preserve">Ensure that awards are conferred in line with the Open University’s conditions of conferment, in line with the FHEQ, and that requirements for appropriate classification are met in full. </w:t>
      </w:r>
    </w:p>
    <w:p w:rsidRPr="009847AF" w:rsidR="00D82227" w:rsidP="1E23324E" w:rsidRDefault="00D82227" w14:paraId="125C07DD" w14:textId="77777777">
      <w:pPr>
        <w:pStyle w:val="NoSpacing"/>
        <w:ind w:left="720"/>
        <w:rPr>
          <w:rFonts w:ascii="Arial" w:hAnsi="Arial" w:cs="Arial"/>
        </w:rPr>
      </w:pPr>
    </w:p>
    <w:p w:rsidRPr="009847AF" w:rsidR="00AF562E" w:rsidP="00180A42" w:rsidRDefault="26ACE70B" w14:paraId="618AF29E" w14:textId="6731BDFC">
      <w:pPr>
        <w:pStyle w:val="NoSpacing"/>
        <w:numPr>
          <w:ilvl w:val="1"/>
          <w:numId w:val="17"/>
        </w:numPr>
        <w:rPr>
          <w:rFonts w:ascii="Arial" w:hAnsi="Arial" w:cs="Arial"/>
        </w:rPr>
      </w:pPr>
      <w:r w:rsidRPr="26ACE70B">
        <w:rPr>
          <w:rFonts w:ascii="Arial" w:hAnsi="Arial" w:cs="Arial"/>
        </w:rPr>
        <w:t>Ensure that sufficient information is available to the Board of Examiners to ensure that it can exercise impartial judgement i.e. student results, decisions from the Extenuating Circumstances Panel and any exceptional circumstances arising.</w:t>
      </w:r>
    </w:p>
    <w:p w:rsidRPr="009847AF" w:rsidR="00D82227" w:rsidP="1E23324E" w:rsidRDefault="00D82227" w14:paraId="6FA669B9" w14:textId="77777777">
      <w:pPr>
        <w:pStyle w:val="NoSpacing"/>
        <w:ind w:left="720"/>
        <w:rPr>
          <w:rFonts w:ascii="Arial" w:hAnsi="Arial" w:cs="Arial"/>
        </w:rPr>
      </w:pPr>
    </w:p>
    <w:p w:rsidRPr="009847AF" w:rsidR="00E054AB" w:rsidP="00180A42" w:rsidRDefault="1E23324E" w14:paraId="081476C6" w14:textId="77777777">
      <w:pPr>
        <w:pStyle w:val="NoSpacing"/>
        <w:numPr>
          <w:ilvl w:val="1"/>
          <w:numId w:val="17"/>
        </w:numPr>
        <w:rPr>
          <w:rFonts w:ascii="Arial" w:hAnsi="Arial" w:cs="Arial"/>
        </w:rPr>
      </w:pPr>
      <w:r w:rsidRPr="1E23324E">
        <w:rPr>
          <w:rFonts w:ascii="Arial" w:hAnsi="Arial" w:cs="Arial"/>
        </w:rPr>
        <w:t>Check minutes to ensure that recorded student decisions are a true and accurate record of the Board of Examiners meeting.</w:t>
      </w:r>
    </w:p>
    <w:p w:rsidR="00A602E7" w:rsidP="1E23324E" w:rsidRDefault="00A602E7" w14:paraId="60061E4C" w14:textId="77777777">
      <w:pPr>
        <w:pStyle w:val="NoSpacing"/>
        <w:rPr>
          <w:rFonts w:ascii="Arial" w:hAnsi="Arial" w:cs="Arial"/>
        </w:rPr>
      </w:pPr>
    </w:p>
    <w:p w:rsidR="02F96EDF" w:rsidP="02F96EDF" w:rsidRDefault="02F96EDF" w14:paraId="6668B717" w14:textId="4BFC0919">
      <w:pPr>
        <w:pStyle w:val="NoSpacing"/>
        <w:rPr>
          <w:rFonts w:ascii="Arial" w:hAnsi="Arial" w:cs="Arial"/>
          <w:i/>
          <w:iCs/>
        </w:rPr>
      </w:pPr>
    </w:p>
    <w:p w:rsidRPr="00F9526E" w:rsidR="00210A4B" w:rsidP="1E23324E" w:rsidRDefault="1E23324E" w14:paraId="3B723D78" w14:textId="37BF97E8">
      <w:pPr>
        <w:pStyle w:val="NoSpacing"/>
        <w:rPr>
          <w:rFonts w:ascii="Arial" w:hAnsi="Arial" w:cs="Arial"/>
          <w:i/>
          <w:iCs/>
        </w:rPr>
      </w:pPr>
      <w:r w:rsidRPr="1E23324E">
        <w:rPr>
          <w:rFonts w:ascii="Arial" w:hAnsi="Arial" w:cs="Arial"/>
          <w:i/>
          <w:iCs/>
        </w:rPr>
        <w:lastRenderedPageBreak/>
        <w:t>Use of Chair’s action</w:t>
      </w:r>
    </w:p>
    <w:p w:rsidR="00210A4B" w:rsidP="1E23324E" w:rsidRDefault="00210A4B" w14:paraId="2F35A31F" w14:textId="77777777">
      <w:pPr>
        <w:pStyle w:val="NoSpacing"/>
        <w:rPr>
          <w:rFonts w:ascii="Arial" w:hAnsi="Arial" w:cs="Arial"/>
        </w:rPr>
      </w:pPr>
    </w:p>
    <w:p w:rsidR="00210A4B" w:rsidP="00180A42" w:rsidRDefault="1E23324E" w14:paraId="4C33693C" w14:textId="7027360B">
      <w:pPr>
        <w:pStyle w:val="NoSpacing"/>
        <w:numPr>
          <w:ilvl w:val="1"/>
          <w:numId w:val="17"/>
        </w:numPr>
        <w:rPr>
          <w:rFonts w:ascii="Arial" w:hAnsi="Arial" w:cs="Arial"/>
        </w:rPr>
      </w:pPr>
      <w:r w:rsidRPr="1E23324E">
        <w:rPr>
          <w:rFonts w:ascii="Arial" w:hAnsi="Arial" w:cs="Arial"/>
        </w:rPr>
        <w:t>If circumstances mean a Board of Examiners has been unable to make a final decision it is possible to use Chair’s action to confirm decisions following a board. However, this should only be used in exceptional circumstances and in agreement with the OU representative.</w:t>
      </w:r>
    </w:p>
    <w:p w:rsidRPr="00210A4B" w:rsidR="008238EE" w:rsidP="008238EE" w:rsidRDefault="008238EE" w14:paraId="35C3ACBC" w14:textId="77777777">
      <w:pPr>
        <w:pStyle w:val="NoSpacing"/>
        <w:ind w:left="1080"/>
        <w:rPr>
          <w:rFonts w:ascii="Arial" w:hAnsi="Arial" w:cs="Arial"/>
        </w:rPr>
      </w:pPr>
    </w:p>
    <w:p w:rsidR="00E06CB8" w:rsidP="00572FB8" w:rsidRDefault="1E23324E" w14:paraId="3C8AA25A" w14:textId="7AE31763">
      <w:pPr>
        <w:pStyle w:val="NoSpacing"/>
        <w:numPr>
          <w:ilvl w:val="0"/>
          <w:numId w:val="17"/>
        </w:numPr>
        <w:rPr>
          <w:rFonts w:ascii="Arial" w:hAnsi="Arial" w:cs="Arial"/>
          <w:b/>
          <w:bCs/>
        </w:rPr>
      </w:pPr>
      <w:r w:rsidRPr="1E23324E">
        <w:rPr>
          <w:rFonts w:ascii="Arial" w:hAnsi="Arial" w:cs="Arial"/>
          <w:b/>
          <w:bCs/>
        </w:rPr>
        <w:t>External Examiners</w:t>
      </w:r>
    </w:p>
    <w:p w:rsidR="00E06CB8" w:rsidP="1E23324E" w:rsidRDefault="00E06CB8" w14:paraId="1BECD4D3" w14:textId="77777777">
      <w:pPr>
        <w:pStyle w:val="NoSpacing"/>
        <w:rPr>
          <w:rFonts w:ascii="Arial" w:hAnsi="Arial" w:cs="Arial"/>
          <w:b/>
          <w:bCs/>
        </w:rPr>
      </w:pPr>
    </w:p>
    <w:p w:rsidR="00E06CB8" w:rsidP="00572FB8" w:rsidRDefault="1E23324E" w14:paraId="0257A470" w14:textId="183BC5E6">
      <w:pPr>
        <w:pStyle w:val="NoSpacing"/>
        <w:numPr>
          <w:ilvl w:val="1"/>
          <w:numId w:val="17"/>
        </w:numPr>
        <w:rPr>
          <w:rFonts w:ascii="Arial" w:hAnsi="Arial" w:cs="Arial"/>
        </w:rPr>
      </w:pPr>
      <w:r w:rsidRPr="1E23324E">
        <w:rPr>
          <w:rFonts w:ascii="Arial" w:hAnsi="Arial" w:cs="Arial"/>
        </w:rPr>
        <w:t>No recommendation for the conferment of a validated award of the University may be made without the written consent of the approved external examiner(s). On any matter which the external examiner has declared a matter of principle, the decision of the external examiners shall either be accepted as final by the Board of Examiners or shall be referred to the Academic Board. Disagreements between external examiners shall be referred to the Academic Board or the Open University, as appropriate.</w:t>
      </w:r>
    </w:p>
    <w:p w:rsidR="00F9526E" w:rsidP="1E23324E" w:rsidRDefault="00F9526E" w14:paraId="51C62889" w14:textId="77777777">
      <w:pPr>
        <w:pStyle w:val="NoSpacing"/>
        <w:rPr>
          <w:rFonts w:ascii="Arial" w:hAnsi="Arial" w:cs="Arial"/>
        </w:rPr>
      </w:pPr>
    </w:p>
    <w:p w:rsidR="00F9526E" w:rsidP="00F5148F" w:rsidRDefault="1E23324E" w14:paraId="3A0DE9D6" w14:textId="599189F3">
      <w:pPr>
        <w:pStyle w:val="NoSpacing"/>
        <w:numPr>
          <w:ilvl w:val="1"/>
          <w:numId w:val="17"/>
        </w:numPr>
        <w:rPr>
          <w:rFonts w:ascii="Arial" w:hAnsi="Arial" w:cs="Arial"/>
        </w:rPr>
      </w:pPr>
      <w:r w:rsidRPr="1E23324E">
        <w:rPr>
          <w:rFonts w:ascii="Arial" w:hAnsi="Arial" w:cs="Arial"/>
        </w:rPr>
        <w:t>The external examiner will present a verbal report during the meeting, and will complete and submit a written report within one month of the Board of Examiners meeting.</w:t>
      </w:r>
    </w:p>
    <w:p w:rsidR="00C95900" w:rsidP="1E23324E" w:rsidRDefault="00C95900" w14:paraId="1237422C" w14:textId="77777777">
      <w:pPr>
        <w:pStyle w:val="NoSpacing"/>
        <w:rPr>
          <w:rFonts w:ascii="Arial" w:hAnsi="Arial" w:cs="Arial"/>
        </w:rPr>
      </w:pPr>
    </w:p>
    <w:p w:rsidR="00C95900" w:rsidP="00245E88" w:rsidRDefault="1E23324E" w14:paraId="6CF23C9E" w14:textId="5E6FACF7">
      <w:pPr>
        <w:pStyle w:val="NoSpacing"/>
        <w:numPr>
          <w:ilvl w:val="1"/>
          <w:numId w:val="17"/>
        </w:numPr>
        <w:rPr>
          <w:rFonts w:ascii="Arial" w:hAnsi="Arial" w:cs="Arial"/>
        </w:rPr>
      </w:pPr>
      <w:r w:rsidRPr="1E23324E">
        <w:rPr>
          <w:rFonts w:ascii="Arial" w:hAnsi="Arial" w:cs="Arial"/>
          <w:i/>
          <w:iCs/>
        </w:rPr>
        <w:t>The external examiner must be able to confirm, during a verbal report at the meeting:</w:t>
      </w:r>
    </w:p>
    <w:p w:rsidR="00C95900" w:rsidP="1E23324E" w:rsidRDefault="00C95900" w14:paraId="0AA92CEF" w14:textId="77777777">
      <w:pPr>
        <w:pStyle w:val="NoSpacing"/>
        <w:rPr>
          <w:rFonts w:ascii="Arial" w:hAnsi="Arial" w:cs="Arial"/>
        </w:rPr>
      </w:pPr>
    </w:p>
    <w:p w:rsidR="00C95900" w:rsidP="00245E88" w:rsidRDefault="1E23324E" w14:paraId="172D7C68" w14:textId="3E4AD95C">
      <w:pPr>
        <w:pStyle w:val="NoSpacing"/>
        <w:numPr>
          <w:ilvl w:val="2"/>
          <w:numId w:val="17"/>
        </w:numPr>
        <w:rPr>
          <w:rFonts w:ascii="Arial" w:hAnsi="Arial" w:cs="Arial"/>
        </w:rPr>
      </w:pPr>
      <w:r w:rsidRPr="1E23324E">
        <w:rPr>
          <w:rFonts w:ascii="Arial" w:hAnsi="Arial" w:cs="Arial"/>
        </w:rPr>
        <w:t>That they have been able to review a sample of student work from the programmes being considered. External examiners are also asked to comment on the range of assessed material and information provided by the programme leader on which their report is based.</w:t>
      </w:r>
    </w:p>
    <w:p w:rsidRPr="008F386A" w:rsidR="008F386A" w:rsidP="00245E88" w:rsidRDefault="1E23324E" w14:paraId="353E168A" w14:textId="4C3DE97A">
      <w:pPr>
        <w:pStyle w:val="ListParagraph"/>
        <w:numPr>
          <w:ilvl w:val="2"/>
          <w:numId w:val="17"/>
        </w:numPr>
        <w:autoSpaceDE w:val="0"/>
        <w:autoSpaceDN w:val="0"/>
        <w:adjustRightInd w:val="0"/>
        <w:spacing w:after="0" w:line="240" w:lineRule="auto"/>
        <w:rPr>
          <w:rFonts w:ascii="Arial" w:hAnsi="Arial" w:cs="Arial"/>
          <w:color w:val="000000" w:themeColor="text1"/>
        </w:rPr>
      </w:pPr>
      <w:r w:rsidRPr="1E23324E">
        <w:rPr>
          <w:rFonts w:ascii="Arial" w:hAnsi="Arial" w:cs="Arial"/>
          <w:color w:val="000000" w:themeColor="text1"/>
        </w:rPr>
        <w:t xml:space="preserve">That the quality of students’ work, their knowledge and skills (both general and subject-specific) is equivalent to their peers on comparable programmes elsewhere. </w:t>
      </w:r>
    </w:p>
    <w:p w:rsidRPr="008F386A" w:rsidR="008F386A" w:rsidP="00245E88" w:rsidRDefault="1E23324E" w14:paraId="05D9A86D" w14:textId="0D98B7C6">
      <w:pPr>
        <w:pStyle w:val="ListParagraph"/>
        <w:numPr>
          <w:ilvl w:val="2"/>
          <w:numId w:val="17"/>
        </w:numPr>
        <w:autoSpaceDE w:val="0"/>
        <w:autoSpaceDN w:val="0"/>
        <w:adjustRightInd w:val="0"/>
        <w:spacing w:after="0" w:line="240" w:lineRule="auto"/>
        <w:rPr>
          <w:rFonts w:ascii="Arial" w:hAnsi="Arial" w:cs="Arial"/>
          <w:color w:val="000000" w:themeColor="text1"/>
        </w:rPr>
      </w:pPr>
      <w:r w:rsidRPr="1E23324E">
        <w:rPr>
          <w:rFonts w:ascii="Arial" w:hAnsi="Arial" w:cs="Arial"/>
          <w:color w:val="000000" w:themeColor="text1"/>
        </w:rPr>
        <w:t xml:space="preserve">Whether the standards set are appropriate for the award, or award element, by reference to any agreed subject benchmarks, qualifications framework, programme specification or other relevant information. </w:t>
      </w:r>
    </w:p>
    <w:p w:rsidR="009B2BD0" w:rsidP="1E23324E" w:rsidRDefault="009B2BD0" w14:paraId="56CE5722" w14:textId="77777777">
      <w:pPr>
        <w:pStyle w:val="NoSpacing"/>
        <w:rPr>
          <w:rFonts w:ascii="Arial" w:hAnsi="Arial" w:cs="Arial"/>
        </w:rPr>
      </w:pPr>
    </w:p>
    <w:p w:rsidRPr="007E6C26" w:rsidR="008F386A" w:rsidP="007E6C26" w:rsidRDefault="1E23324E" w14:paraId="0630724E" w14:textId="07B9EDF9">
      <w:pPr>
        <w:pStyle w:val="NoSpacing"/>
        <w:numPr>
          <w:ilvl w:val="1"/>
          <w:numId w:val="17"/>
        </w:numPr>
        <w:rPr>
          <w:rFonts w:ascii="Arial" w:hAnsi="Arial" w:cs="Arial"/>
          <w:iCs/>
        </w:rPr>
      </w:pPr>
      <w:r w:rsidRPr="007E6C26">
        <w:rPr>
          <w:rFonts w:ascii="Arial" w:hAnsi="Arial" w:cs="Arial"/>
          <w:iCs/>
        </w:rPr>
        <w:t>In addition, in their verbal report, the external examiner may wish to include a comment about other aspects in their written report, including:</w:t>
      </w:r>
    </w:p>
    <w:p w:rsidR="008F386A" w:rsidP="1E23324E" w:rsidRDefault="008F386A" w14:paraId="0B9DC44D" w14:textId="77777777">
      <w:pPr>
        <w:pStyle w:val="NoSpacing"/>
        <w:rPr>
          <w:rFonts w:ascii="Arial" w:hAnsi="Arial" w:cs="Arial"/>
        </w:rPr>
      </w:pPr>
    </w:p>
    <w:p w:rsidR="008F386A" w:rsidP="02F96EDF" w:rsidRDefault="02F96EDF" w14:paraId="1E746503" w14:textId="77777777">
      <w:pPr>
        <w:pStyle w:val="NoSpacing"/>
        <w:numPr>
          <w:ilvl w:val="1"/>
          <w:numId w:val="16"/>
        </w:numPr>
        <w:rPr>
          <w:rFonts w:ascii="Arial" w:hAnsi="Arial" w:cs="Arial"/>
        </w:rPr>
      </w:pPr>
      <w:r w:rsidRPr="02F96EDF">
        <w:rPr>
          <w:rFonts w:ascii="Arial" w:hAnsi="Arial" w:cs="Arial"/>
        </w:rPr>
        <w:t>The strengths and weaknesses of the students</w:t>
      </w:r>
    </w:p>
    <w:p w:rsidR="008F386A" w:rsidP="02F96EDF" w:rsidRDefault="02F96EDF" w14:paraId="5EEF2D12" w14:textId="256ED895">
      <w:pPr>
        <w:pStyle w:val="NoSpacing"/>
        <w:numPr>
          <w:ilvl w:val="1"/>
          <w:numId w:val="16"/>
        </w:numPr>
        <w:rPr>
          <w:rFonts w:ascii="Arial" w:hAnsi="Arial" w:cs="Arial"/>
        </w:rPr>
      </w:pPr>
      <w:r w:rsidRPr="02F96EDF">
        <w:rPr>
          <w:rFonts w:ascii="Arial" w:hAnsi="Arial" w:cs="Arial"/>
        </w:rPr>
        <w:t xml:space="preserve">The quality of teaching and learning, as indicated by student performance </w:t>
      </w:r>
    </w:p>
    <w:p w:rsidR="008F386A" w:rsidP="02F96EDF" w:rsidRDefault="02F96EDF" w14:paraId="28778048" w14:textId="70FBE596">
      <w:pPr>
        <w:pStyle w:val="NoSpacing"/>
        <w:numPr>
          <w:ilvl w:val="1"/>
          <w:numId w:val="16"/>
        </w:numPr>
        <w:rPr>
          <w:rFonts w:ascii="Arial" w:hAnsi="Arial" w:cs="Arial"/>
        </w:rPr>
      </w:pPr>
      <w:r w:rsidRPr="02F96EDF">
        <w:rPr>
          <w:rFonts w:ascii="Arial" w:hAnsi="Arial" w:cs="Arial"/>
        </w:rPr>
        <w:t>The quality of the curriculum, course materials and learning resources</w:t>
      </w:r>
    </w:p>
    <w:p w:rsidR="008F386A" w:rsidP="02F96EDF" w:rsidRDefault="02F96EDF" w14:paraId="0B810DD2" w14:textId="48B499AA">
      <w:pPr>
        <w:pStyle w:val="NoSpacing"/>
        <w:numPr>
          <w:ilvl w:val="1"/>
          <w:numId w:val="16"/>
        </w:numPr>
        <w:rPr>
          <w:rFonts w:ascii="Arial" w:hAnsi="Arial" w:cs="Arial"/>
        </w:rPr>
      </w:pPr>
      <w:r w:rsidRPr="02F96EDF">
        <w:rPr>
          <w:rFonts w:ascii="Arial" w:hAnsi="Arial" w:cs="Arial"/>
        </w:rPr>
        <w:t>The quality and fairness of the assessments, in particular their:</w:t>
      </w:r>
    </w:p>
    <w:p w:rsidR="008F386A" w:rsidP="02F96EDF" w:rsidRDefault="02F96EDF" w14:paraId="37A82588" w14:textId="49DEDE88">
      <w:pPr>
        <w:pStyle w:val="NoSpacing"/>
        <w:numPr>
          <w:ilvl w:val="2"/>
          <w:numId w:val="16"/>
        </w:numPr>
        <w:rPr>
          <w:rFonts w:ascii="Arial" w:hAnsi="Arial" w:cs="Arial"/>
        </w:rPr>
      </w:pPr>
      <w:r w:rsidRPr="02F96EDF">
        <w:rPr>
          <w:rFonts w:ascii="Arial" w:hAnsi="Arial" w:cs="Arial"/>
        </w:rPr>
        <w:t>Design and structure</w:t>
      </w:r>
    </w:p>
    <w:p w:rsidR="008F386A" w:rsidP="02F96EDF" w:rsidRDefault="02F96EDF" w14:paraId="50B1A39F" w14:textId="02E78429">
      <w:pPr>
        <w:pStyle w:val="NoSpacing"/>
        <w:numPr>
          <w:ilvl w:val="2"/>
          <w:numId w:val="16"/>
        </w:numPr>
        <w:rPr>
          <w:rFonts w:ascii="Arial" w:hAnsi="Arial" w:cs="Arial"/>
        </w:rPr>
      </w:pPr>
      <w:r w:rsidRPr="02F96EDF">
        <w:rPr>
          <w:rFonts w:ascii="Arial" w:hAnsi="Arial" w:cs="Arial"/>
        </w:rPr>
        <w:t>Relation to stated objectives and learning outcomes of the programme</w:t>
      </w:r>
    </w:p>
    <w:p w:rsidR="008F386A" w:rsidP="02F96EDF" w:rsidRDefault="02F96EDF" w14:paraId="54A2C189" w14:textId="4737FC0C">
      <w:pPr>
        <w:pStyle w:val="NoSpacing"/>
        <w:numPr>
          <w:ilvl w:val="2"/>
          <w:numId w:val="16"/>
        </w:numPr>
        <w:rPr>
          <w:rFonts w:ascii="Arial" w:hAnsi="Arial" w:cs="Arial"/>
        </w:rPr>
      </w:pPr>
      <w:r w:rsidRPr="02F96EDF">
        <w:rPr>
          <w:rFonts w:ascii="Arial" w:hAnsi="Arial" w:cs="Arial"/>
        </w:rPr>
        <w:t>Marking</w:t>
      </w:r>
    </w:p>
    <w:p w:rsidRPr="008F386A" w:rsidR="008F386A" w:rsidP="02F96EDF" w:rsidRDefault="02F96EDF" w14:paraId="3725F3C5" w14:textId="4FAFC799">
      <w:pPr>
        <w:pStyle w:val="ListParagraph"/>
        <w:numPr>
          <w:ilvl w:val="1"/>
          <w:numId w:val="16"/>
        </w:numPr>
        <w:autoSpaceDE w:val="0"/>
        <w:autoSpaceDN w:val="0"/>
        <w:adjustRightInd w:val="0"/>
        <w:spacing w:after="0" w:line="240" w:lineRule="auto"/>
        <w:rPr>
          <w:rFonts w:ascii="Arial" w:hAnsi="Arial" w:cs="Arial"/>
          <w:color w:val="000000" w:themeColor="text1"/>
        </w:rPr>
      </w:pPr>
      <w:r w:rsidRPr="02F96EDF">
        <w:rPr>
          <w:rFonts w:ascii="Arial" w:hAnsi="Arial" w:cs="Arial"/>
          <w:color w:val="000000" w:themeColor="text1"/>
        </w:rPr>
        <w:t xml:space="preserve">Where the programme has specific work-related learning outcomes (e.g. Foundation Degrees) comment on the assessment and achievement of these outcomes, including employers’ involvement where relevant. </w:t>
      </w:r>
    </w:p>
    <w:p w:rsidRPr="008F386A" w:rsidR="008F386A" w:rsidP="02F96EDF" w:rsidRDefault="02F96EDF" w14:paraId="7E22CB9D" w14:textId="78D7069A">
      <w:pPr>
        <w:pStyle w:val="ListParagraph"/>
        <w:numPr>
          <w:ilvl w:val="1"/>
          <w:numId w:val="16"/>
        </w:numPr>
        <w:autoSpaceDE w:val="0"/>
        <w:autoSpaceDN w:val="0"/>
        <w:adjustRightInd w:val="0"/>
        <w:spacing w:after="0" w:line="240" w:lineRule="auto"/>
        <w:rPr>
          <w:rFonts w:ascii="Arial" w:hAnsi="Arial" w:cs="Arial"/>
          <w:color w:val="000000" w:themeColor="text1"/>
        </w:rPr>
      </w:pPr>
      <w:r w:rsidRPr="02F96EDF">
        <w:rPr>
          <w:rFonts w:ascii="Arial" w:hAnsi="Arial" w:cs="Arial"/>
          <w:color w:val="000000" w:themeColor="text1"/>
        </w:rPr>
        <w:t xml:space="preserve">The administration of the assessments, operation of examination boards, the briefing they received, their access to essential materials, etc. </w:t>
      </w:r>
    </w:p>
    <w:p w:rsidRPr="008F386A" w:rsidR="008F386A" w:rsidP="02F96EDF" w:rsidRDefault="02F96EDF" w14:paraId="4ABA66F5" w14:textId="0D83D381">
      <w:pPr>
        <w:pStyle w:val="ListParagraph"/>
        <w:numPr>
          <w:ilvl w:val="1"/>
          <w:numId w:val="16"/>
        </w:numPr>
        <w:autoSpaceDE w:val="0"/>
        <w:autoSpaceDN w:val="0"/>
        <w:adjustRightInd w:val="0"/>
        <w:spacing w:after="0" w:line="240" w:lineRule="auto"/>
        <w:rPr>
          <w:rFonts w:ascii="Arial" w:hAnsi="Arial" w:cs="Arial"/>
          <w:color w:val="000000" w:themeColor="text1"/>
        </w:rPr>
      </w:pPr>
      <w:r w:rsidRPr="02F96EDF">
        <w:rPr>
          <w:rFonts w:ascii="Arial" w:hAnsi="Arial" w:cs="Arial"/>
          <w:color w:val="000000" w:themeColor="text1"/>
        </w:rPr>
        <w:t xml:space="preserve">Whether or not all the issues identified in the previous report been addressed by the institution </w:t>
      </w:r>
    </w:p>
    <w:p w:rsidRPr="009B2BD0" w:rsidR="008F386A" w:rsidP="02F96EDF" w:rsidRDefault="02F96EDF" w14:paraId="6C413590" w14:textId="1555A839">
      <w:pPr>
        <w:pStyle w:val="NoSpacing"/>
        <w:numPr>
          <w:ilvl w:val="1"/>
          <w:numId w:val="16"/>
        </w:numPr>
        <w:rPr>
          <w:rFonts w:ascii="Arial" w:hAnsi="Arial" w:cs="Arial"/>
        </w:rPr>
      </w:pPr>
      <w:r w:rsidRPr="02F96EDF">
        <w:rPr>
          <w:rFonts w:ascii="Arial" w:hAnsi="Arial" w:cs="Arial"/>
        </w:rPr>
        <w:t>Any other comments</w:t>
      </w:r>
    </w:p>
    <w:p w:rsidR="00E06CB8" w:rsidP="1E23324E" w:rsidRDefault="00E06CB8" w14:paraId="2D8329F1" w14:textId="77777777">
      <w:pPr>
        <w:pStyle w:val="NoSpacing"/>
        <w:rPr>
          <w:rFonts w:ascii="Arial" w:hAnsi="Arial" w:cs="Arial"/>
          <w:b/>
          <w:bCs/>
        </w:rPr>
      </w:pPr>
    </w:p>
    <w:p w:rsidR="02F96EDF" w:rsidP="02F96EDF" w:rsidRDefault="02F96EDF" w14:paraId="605A469B" w14:textId="3EA5C04E">
      <w:pPr>
        <w:pStyle w:val="NoSpacing"/>
        <w:ind w:left="360"/>
        <w:rPr>
          <w:rFonts w:ascii="Arial" w:hAnsi="Arial" w:cs="Arial"/>
          <w:b/>
          <w:bCs/>
        </w:rPr>
      </w:pPr>
    </w:p>
    <w:p w:rsidRPr="00E06CB8" w:rsidR="00E06CB8" w:rsidP="007E6C26" w:rsidRDefault="02F96EDF" w14:paraId="1C4F9BAC" w14:textId="1FE8C99B">
      <w:pPr>
        <w:pStyle w:val="NoSpacing"/>
        <w:numPr>
          <w:ilvl w:val="0"/>
          <w:numId w:val="17"/>
        </w:numPr>
        <w:rPr>
          <w:rFonts w:ascii="Arial" w:hAnsi="Arial" w:cs="Arial"/>
          <w:b/>
          <w:bCs/>
        </w:rPr>
      </w:pPr>
      <w:r w:rsidRPr="02F96EDF">
        <w:rPr>
          <w:rFonts w:ascii="Arial" w:hAnsi="Arial" w:cs="Arial"/>
          <w:b/>
          <w:bCs/>
        </w:rPr>
        <w:t>The Secretary</w:t>
      </w:r>
    </w:p>
    <w:p w:rsidR="00E06CB8" w:rsidP="1E23324E" w:rsidRDefault="00E06CB8" w14:paraId="3513D94C" w14:textId="77777777">
      <w:pPr>
        <w:pStyle w:val="NoSpacing"/>
        <w:rPr>
          <w:rFonts w:ascii="Arial" w:hAnsi="Arial" w:cs="Arial"/>
        </w:rPr>
      </w:pPr>
    </w:p>
    <w:p w:rsidRPr="009847AF" w:rsidR="00A602E7" w:rsidP="1E23324E" w:rsidRDefault="1E23324E" w14:paraId="66828BFD" w14:textId="783931E9">
      <w:pPr>
        <w:pStyle w:val="NoSpacing"/>
        <w:rPr>
          <w:rFonts w:ascii="Arial" w:hAnsi="Arial" w:cs="Arial"/>
          <w:i/>
          <w:iCs/>
        </w:rPr>
      </w:pPr>
      <w:r w:rsidRPr="1E23324E">
        <w:rPr>
          <w:rFonts w:ascii="Arial" w:hAnsi="Arial" w:cs="Arial"/>
          <w:i/>
          <w:iCs/>
        </w:rPr>
        <w:t>The Secretary must:</w:t>
      </w:r>
    </w:p>
    <w:p w:rsidR="00A602E7" w:rsidP="1E23324E" w:rsidRDefault="00A602E7" w14:paraId="44EAFD9C" w14:textId="77777777">
      <w:pPr>
        <w:pStyle w:val="NoSpacing"/>
        <w:rPr>
          <w:rFonts w:ascii="Arial" w:hAnsi="Arial" w:cs="Arial"/>
        </w:rPr>
      </w:pPr>
    </w:p>
    <w:p w:rsidRPr="009847AF" w:rsidR="00A602E7" w:rsidP="007E6C26" w:rsidRDefault="02F96EDF" w14:paraId="1DA0DA6E" w14:textId="73D6E155">
      <w:pPr>
        <w:pStyle w:val="NoSpacing"/>
        <w:numPr>
          <w:ilvl w:val="1"/>
          <w:numId w:val="17"/>
        </w:numPr>
        <w:rPr>
          <w:rFonts w:ascii="Arial" w:hAnsi="Arial" w:cs="Arial"/>
        </w:rPr>
      </w:pPr>
      <w:r w:rsidRPr="02F96EDF">
        <w:rPr>
          <w:rFonts w:ascii="Arial" w:hAnsi="Arial" w:cs="Arial"/>
        </w:rPr>
        <w:t>Ensure that the final agenda, and a reminder of confidentiality, is circulated at least one working day before the Board of Examiners meeting.</w:t>
      </w:r>
    </w:p>
    <w:p w:rsidRPr="009847AF" w:rsidR="00D82227" w:rsidP="1E23324E" w:rsidRDefault="00D82227" w14:paraId="5E32C023" w14:textId="77777777">
      <w:pPr>
        <w:pStyle w:val="NoSpacing"/>
        <w:ind w:left="720"/>
        <w:rPr>
          <w:rFonts w:ascii="Arial" w:hAnsi="Arial" w:cs="Arial"/>
        </w:rPr>
      </w:pPr>
    </w:p>
    <w:p w:rsidRPr="009847AF" w:rsidR="00A602E7" w:rsidP="00791A5D" w:rsidRDefault="02F96EDF" w14:paraId="5587ACC2" w14:textId="208F8839">
      <w:pPr>
        <w:pStyle w:val="NoSpacing"/>
        <w:numPr>
          <w:ilvl w:val="1"/>
          <w:numId w:val="17"/>
        </w:numPr>
        <w:rPr>
          <w:rFonts w:ascii="Arial" w:hAnsi="Arial" w:cs="Arial"/>
        </w:rPr>
      </w:pPr>
      <w:r w:rsidRPr="02F96EDF">
        <w:rPr>
          <w:rFonts w:ascii="Arial" w:hAnsi="Arial" w:cs="Arial"/>
        </w:rPr>
        <w:t>At the Board of Examiners meeting provide that an accessible copy is available of:</w:t>
      </w:r>
    </w:p>
    <w:p w:rsidRPr="009847AF" w:rsidR="00A602E7" w:rsidP="02F96EDF" w:rsidRDefault="02F96EDF" w14:paraId="0590AE0A" w14:textId="77777777">
      <w:pPr>
        <w:pStyle w:val="NoSpacing"/>
        <w:numPr>
          <w:ilvl w:val="1"/>
          <w:numId w:val="18"/>
        </w:numPr>
        <w:rPr>
          <w:rFonts w:ascii="Arial" w:hAnsi="Arial" w:cs="Arial"/>
        </w:rPr>
      </w:pPr>
      <w:r w:rsidRPr="02F96EDF">
        <w:rPr>
          <w:rFonts w:ascii="Arial" w:hAnsi="Arial" w:cs="Arial"/>
        </w:rPr>
        <w:t>Minutes of the previous Board of Examiners</w:t>
      </w:r>
    </w:p>
    <w:p w:rsidRPr="009847AF" w:rsidR="00A602E7" w:rsidP="02F96EDF" w:rsidRDefault="02F96EDF" w14:paraId="480AFB67" w14:textId="3D12BECE">
      <w:pPr>
        <w:pStyle w:val="NoSpacing"/>
        <w:numPr>
          <w:ilvl w:val="1"/>
          <w:numId w:val="18"/>
        </w:numPr>
        <w:rPr>
          <w:rFonts w:ascii="Arial" w:hAnsi="Arial" w:cs="Arial"/>
        </w:rPr>
      </w:pPr>
      <w:r w:rsidRPr="02F96EDF">
        <w:rPr>
          <w:rFonts w:ascii="Arial" w:hAnsi="Arial" w:cs="Arial"/>
        </w:rPr>
        <w:t>Reports from the Extenuating Circumstances Panel</w:t>
      </w:r>
    </w:p>
    <w:p w:rsidRPr="009847AF" w:rsidR="00A602E7" w:rsidP="02F96EDF" w:rsidRDefault="02F96EDF" w14:paraId="66127C5B" w14:textId="7CCC83DF">
      <w:pPr>
        <w:pStyle w:val="NoSpacing"/>
        <w:numPr>
          <w:ilvl w:val="1"/>
          <w:numId w:val="18"/>
        </w:numPr>
        <w:rPr>
          <w:rFonts w:ascii="Arial" w:hAnsi="Arial" w:cs="Arial"/>
        </w:rPr>
      </w:pPr>
      <w:r w:rsidRPr="02F96EDF">
        <w:rPr>
          <w:rFonts w:ascii="Arial" w:hAnsi="Arial" w:cs="Arial"/>
        </w:rPr>
        <w:t>Report from any Unfair Practice hearings</w:t>
      </w:r>
    </w:p>
    <w:p w:rsidRPr="009847AF" w:rsidR="00A602E7" w:rsidP="02F96EDF" w:rsidRDefault="02F96EDF" w14:paraId="53C57DCC" w14:textId="5911F1F6">
      <w:pPr>
        <w:pStyle w:val="NoSpacing"/>
        <w:numPr>
          <w:ilvl w:val="1"/>
          <w:numId w:val="18"/>
        </w:numPr>
        <w:rPr>
          <w:rFonts w:ascii="Arial" w:hAnsi="Arial" w:cs="Arial"/>
        </w:rPr>
      </w:pPr>
      <w:r w:rsidRPr="02F96EDF">
        <w:rPr>
          <w:rFonts w:ascii="Arial" w:hAnsi="Arial" w:cs="Arial"/>
        </w:rPr>
        <w:t>Mark sheets from the Pre-Board meetings</w:t>
      </w:r>
    </w:p>
    <w:p w:rsidRPr="009847AF" w:rsidR="00A602E7" w:rsidP="02F96EDF" w:rsidRDefault="02F96EDF" w14:paraId="1A53301B" w14:textId="77777777">
      <w:pPr>
        <w:pStyle w:val="NoSpacing"/>
        <w:numPr>
          <w:ilvl w:val="1"/>
          <w:numId w:val="18"/>
        </w:numPr>
        <w:rPr>
          <w:rFonts w:ascii="Arial" w:hAnsi="Arial" w:cs="Arial"/>
        </w:rPr>
      </w:pPr>
      <w:r w:rsidRPr="02F96EDF">
        <w:rPr>
          <w:rFonts w:ascii="Arial" w:hAnsi="Arial" w:cs="Arial"/>
        </w:rPr>
        <w:t>Relevant trend data</w:t>
      </w:r>
    </w:p>
    <w:p w:rsidRPr="009847AF" w:rsidR="00A602E7" w:rsidP="02F96EDF" w:rsidRDefault="02F96EDF" w14:paraId="2FC499EC" w14:textId="7EBD6A0B">
      <w:pPr>
        <w:pStyle w:val="NoSpacing"/>
        <w:numPr>
          <w:ilvl w:val="1"/>
          <w:numId w:val="18"/>
        </w:numPr>
        <w:rPr>
          <w:rFonts w:ascii="Arial" w:hAnsi="Arial" w:cs="Arial"/>
        </w:rPr>
      </w:pPr>
      <w:r w:rsidRPr="02F96EDF">
        <w:rPr>
          <w:rFonts w:ascii="Arial" w:hAnsi="Arial" w:cs="Arial"/>
        </w:rPr>
        <w:t>The programme handbook for the programme(s) being considered</w:t>
      </w:r>
    </w:p>
    <w:p w:rsidRPr="009847AF" w:rsidR="00A602E7" w:rsidP="02F96EDF" w:rsidRDefault="02F96EDF" w14:paraId="219DD8A8" w14:textId="0C0AC98F">
      <w:pPr>
        <w:pStyle w:val="NoSpacing"/>
        <w:numPr>
          <w:ilvl w:val="1"/>
          <w:numId w:val="18"/>
        </w:numPr>
        <w:rPr>
          <w:rFonts w:ascii="Arial" w:hAnsi="Arial" w:cs="Arial"/>
        </w:rPr>
      </w:pPr>
      <w:r w:rsidRPr="02F96EDF">
        <w:rPr>
          <w:rFonts w:ascii="Arial" w:hAnsi="Arial" w:cs="Arial"/>
        </w:rPr>
        <w:t>The Assessment Policy for Open University Programmes</w:t>
      </w:r>
    </w:p>
    <w:p w:rsidRPr="009847AF" w:rsidR="00A602E7" w:rsidP="02F96EDF" w:rsidRDefault="02F96EDF" w14:paraId="5E8855FB" w14:textId="68DB9A0D">
      <w:pPr>
        <w:pStyle w:val="NoSpacing"/>
        <w:numPr>
          <w:ilvl w:val="1"/>
          <w:numId w:val="18"/>
        </w:numPr>
        <w:rPr>
          <w:rFonts w:ascii="Arial" w:hAnsi="Arial" w:cs="Arial"/>
        </w:rPr>
      </w:pPr>
      <w:r w:rsidRPr="02F96EDF">
        <w:rPr>
          <w:rFonts w:ascii="Arial" w:hAnsi="Arial" w:cs="Arial"/>
        </w:rPr>
        <w:t xml:space="preserve">The Unfair Practice Policy and Procedure </w:t>
      </w:r>
    </w:p>
    <w:p w:rsidRPr="009847AF" w:rsidR="00A602E7" w:rsidP="02F96EDF" w:rsidRDefault="02F96EDF" w14:paraId="3EB505FE" w14:textId="02718C3B">
      <w:pPr>
        <w:pStyle w:val="NoSpacing"/>
        <w:numPr>
          <w:ilvl w:val="1"/>
          <w:numId w:val="18"/>
        </w:numPr>
        <w:rPr>
          <w:rFonts w:ascii="Arial" w:hAnsi="Arial" w:cs="Arial"/>
        </w:rPr>
      </w:pPr>
      <w:r w:rsidRPr="02F96EDF">
        <w:rPr>
          <w:rFonts w:ascii="Arial" w:hAnsi="Arial" w:cs="Arial"/>
        </w:rPr>
        <w:t>The Extenuating Circumstances and Interruption of Studies Policy and Procedure</w:t>
      </w:r>
    </w:p>
    <w:p w:rsidR="0070435A" w:rsidP="1E23324E" w:rsidRDefault="0070435A" w14:paraId="4B94D5A5" w14:textId="77777777">
      <w:pPr>
        <w:pStyle w:val="NoSpacing"/>
        <w:rPr>
          <w:rFonts w:ascii="Arial" w:hAnsi="Arial" w:cs="Arial"/>
        </w:rPr>
      </w:pPr>
    </w:p>
    <w:p w:rsidRPr="009B2BD0" w:rsidR="009B2BD0" w:rsidP="02F96EDF" w:rsidRDefault="02F96EDF" w14:paraId="124A4A14" w14:textId="5E8C4D58">
      <w:pPr>
        <w:pStyle w:val="NoSpacing"/>
        <w:numPr>
          <w:ilvl w:val="1"/>
          <w:numId w:val="17"/>
        </w:numPr>
        <w:rPr>
          <w:rFonts w:ascii="Arial" w:hAnsi="Arial" w:cs="Arial"/>
        </w:rPr>
      </w:pPr>
      <w:r w:rsidRPr="02F96EDF">
        <w:rPr>
          <w:rFonts w:ascii="Arial" w:hAnsi="Arial" w:cs="Arial"/>
        </w:rPr>
        <w:t>After the completion of the a Board of Examiners meeting that includes conferment of final awards and classifications provide the following to OUVP, for each programme:</w:t>
      </w:r>
    </w:p>
    <w:p w:rsidR="02F96EDF" w:rsidP="02F96EDF" w:rsidRDefault="02F96EDF" w14:paraId="18082EA1" w14:textId="18EB68AC">
      <w:pPr>
        <w:pStyle w:val="NoSpacing"/>
        <w:ind w:left="360"/>
        <w:rPr>
          <w:rFonts w:ascii="Arial" w:hAnsi="Arial" w:cs="Arial"/>
        </w:rPr>
      </w:pPr>
    </w:p>
    <w:p w:rsidRPr="00455228" w:rsidR="009B2BD0" w:rsidP="02F96EDF" w:rsidRDefault="02F96EDF" w14:paraId="6F6D0CC5" w14:textId="01E12ADB">
      <w:pPr>
        <w:pStyle w:val="ListParagraph"/>
        <w:numPr>
          <w:ilvl w:val="1"/>
          <w:numId w:val="1"/>
        </w:numPr>
        <w:autoSpaceDE w:val="0"/>
        <w:autoSpaceDN w:val="0"/>
        <w:adjustRightInd w:val="0"/>
        <w:spacing w:after="0" w:line="240" w:lineRule="auto"/>
        <w:rPr>
          <w:color w:val="000000" w:themeColor="text1"/>
        </w:rPr>
      </w:pPr>
      <w:r w:rsidRPr="02F96EDF">
        <w:rPr>
          <w:rFonts w:ascii="Arial" w:hAnsi="Arial" w:cs="Arial"/>
          <w:color w:val="000000" w:themeColor="text1"/>
        </w:rPr>
        <w:t xml:space="preserve">F7 sheet, signed by the Chair, the OU representative, the external examiner and the secretary </w:t>
      </w:r>
    </w:p>
    <w:p w:rsidRPr="00455228" w:rsidR="009B2BD0" w:rsidP="02F96EDF" w:rsidRDefault="02F96EDF" w14:paraId="288906FB" w14:textId="573981DB">
      <w:pPr>
        <w:pStyle w:val="ListParagraph"/>
        <w:numPr>
          <w:ilvl w:val="1"/>
          <w:numId w:val="1"/>
        </w:numPr>
        <w:autoSpaceDE w:val="0"/>
        <w:autoSpaceDN w:val="0"/>
        <w:adjustRightInd w:val="0"/>
        <w:spacing w:after="0" w:line="240" w:lineRule="auto"/>
        <w:rPr>
          <w:color w:val="000000" w:themeColor="text1"/>
        </w:rPr>
      </w:pPr>
      <w:r w:rsidRPr="02F96EDF">
        <w:rPr>
          <w:rFonts w:ascii="Arial" w:hAnsi="Arial" w:cs="Arial"/>
          <w:color w:val="000000" w:themeColor="text1"/>
        </w:rPr>
        <w:t xml:space="preserve">Award recommendation list, signed by the external examiner </w:t>
      </w:r>
    </w:p>
    <w:p w:rsidRPr="00455228" w:rsidR="009B2BD0" w:rsidP="02F96EDF" w:rsidRDefault="02F96EDF" w14:paraId="189F83A3" w14:textId="650259BC">
      <w:pPr>
        <w:pStyle w:val="ListParagraph"/>
        <w:numPr>
          <w:ilvl w:val="1"/>
          <w:numId w:val="1"/>
        </w:numPr>
        <w:autoSpaceDE w:val="0"/>
        <w:autoSpaceDN w:val="0"/>
        <w:adjustRightInd w:val="0"/>
        <w:spacing w:after="0" w:line="240" w:lineRule="auto"/>
        <w:rPr>
          <w:color w:val="000000" w:themeColor="text1"/>
        </w:rPr>
      </w:pPr>
      <w:r w:rsidRPr="02F96EDF">
        <w:rPr>
          <w:rFonts w:ascii="Arial" w:hAnsi="Arial" w:cs="Arial"/>
          <w:color w:val="000000" w:themeColor="text1"/>
        </w:rPr>
        <w:t>Completed examination board spreadsheet signed by the Chair, the OU representative and the external examiner</w:t>
      </w:r>
    </w:p>
    <w:p w:rsidRPr="009847AF" w:rsidR="009B2BD0" w:rsidP="1E23324E" w:rsidRDefault="009B2BD0" w14:paraId="69B1621A" w14:textId="77777777">
      <w:pPr>
        <w:pStyle w:val="NoSpacing"/>
        <w:rPr>
          <w:rFonts w:ascii="Arial" w:hAnsi="Arial" w:cs="Arial"/>
        </w:rPr>
      </w:pPr>
    </w:p>
    <w:p w:rsidRPr="009847AF" w:rsidR="009847AF" w:rsidP="00656661" w:rsidRDefault="02F96EDF" w14:paraId="227F78E2" w14:textId="26CE3122">
      <w:pPr>
        <w:pStyle w:val="NoSpacing"/>
        <w:numPr>
          <w:ilvl w:val="0"/>
          <w:numId w:val="17"/>
        </w:numPr>
        <w:rPr>
          <w:rFonts w:ascii="Arial" w:hAnsi="Arial" w:cs="Arial"/>
          <w:b/>
          <w:bCs/>
        </w:rPr>
      </w:pPr>
      <w:r w:rsidRPr="02F96EDF">
        <w:rPr>
          <w:rFonts w:ascii="Arial" w:hAnsi="Arial" w:cs="Arial"/>
          <w:b/>
          <w:bCs/>
        </w:rPr>
        <w:t>The Open University representative</w:t>
      </w:r>
    </w:p>
    <w:p w:rsidR="009847AF" w:rsidP="1E23324E" w:rsidRDefault="009847AF" w14:paraId="0F4D2D8D" w14:textId="77777777">
      <w:pPr>
        <w:pStyle w:val="NoSpacing"/>
        <w:rPr>
          <w:rFonts w:ascii="Arial" w:hAnsi="Arial" w:cs="Arial"/>
        </w:rPr>
      </w:pPr>
    </w:p>
    <w:p w:rsidRPr="009847AF" w:rsidR="009847AF" w:rsidP="00656661" w:rsidRDefault="02F96EDF" w14:paraId="0F1C6249" w14:textId="78E12014">
      <w:pPr>
        <w:pStyle w:val="NoSpacing"/>
        <w:numPr>
          <w:ilvl w:val="1"/>
          <w:numId w:val="17"/>
        </w:numPr>
        <w:rPr>
          <w:rFonts w:ascii="Arial" w:hAnsi="Arial" w:cs="Arial"/>
        </w:rPr>
      </w:pPr>
      <w:r w:rsidRPr="02F96EDF">
        <w:rPr>
          <w:rFonts w:ascii="Arial" w:hAnsi="Arial" w:cs="Arial"/>
        </w:rPr>
        <w:t>The primary role of the OU representative is to provide support for boards of examiners or their committees in the continued assurance of academic standards. Attendance at boards of examiners will also provide for the OU an important window on the assessment process for its validated awards. The OU representative will not participate in making academic judgements but will be able to bring their own knowledge and experience of the assessment process to the discussion of outcomes. OU representatives will respect the autonomy of the institution as it derives from the institutional agreement but will also have concern for the University’s obligations and national requirements.</w:t>
      </w:r>
    </w:p>
    <w:p w:rsidRPr="009847AF" w:rsidR="009847AF" w:rsidP="1E23324E" w:rsidRDefault="009847AF" w14:paraId="4EF3463D" w14:textId="77777777">
      <w:pPr>
        <w:pStyle w:val="NoSpacing"/>
        <w:rPr>
          <w:rFonts w:ascii="Arial" w:hAnsi="Arial" w:cs="Arial"/>
        </w:rPr>
      </w:pPr>
    </w:p>
    <w:p w:rsidRPr="009847AF" w:rsidR="0070435A" w:rsidP="1E23324E" w:rsidRDefault="1E23324E" w14:paraId="6C767139" w14:textId="77777777">
      <w:pPr>
        <w:pStyle w:val="NoSpacing"/>
        <w:rPr>
          <w:rFonts w:ascii="Arial" w:hAnsi="Arial" w:cs="Arial"/>
          <w:i/>
          <w:iCs/>
        </w:rPr>
      </w:pPr>
      <w:r w:rsidRPr="1E23324E">
        <w:rPr>
          <w:rFonts w:ascii="Arial" w:hAnsi="Arial" w:cs="Arial"/>
          <w:i/>
          <w:iCs/>
        </w:rPr>
        <w:t>The Open University representative will:</w:t>
      </w:r>
    </w:p>
    <w:p w:rsidRPr="009847AF" w:rsidR="00A602E7" w:rsidP="1E23324E" w:rsidRDefault="00A602E7" w14:paraId="3DEEC669" w14:textId="77777777">
      <w:pPr>
        <w:pStyle w:val="NoSpacing"/>
        <w:rPr>
          <w:rFonts w:ascii="Arial" w:hAnsi="Arial" w:cs="Arial"/>
        </w:rPr>
      </w:pPr>
    </w:p>
    <w:p w:rsidRPr="009847AF" w:rsidR="00E4160A" w:rsidP="00656661" w:rsidRDefault="02F96EDF" w14:paraId="2F785D66" w14:textId="51530DEB">
      <w:pPr>
        <w:pStyle w:val="NoSpacing"/>
        <w:numPr>
          <w:ilvl w:val="1"/>
          <w:numId w:val="17"/>
        </w:numPr>
        <w:rPr>
          <w:rFonts w:ascii="Arial" w:hAnsi="Arial" w:cs="Arial"/>
        </w:rPr>
      </w:pPr>
      <w:r w:rsidRPr="02F96EDF">
        <w:rPr>
          <w:rFonts w:ascii="Arial" w:hAnsi="Arial" w:cs="Arial"/>
        </w:rPr>
        <w:t>Observe the conduct of the Board.</w:t>
      </w:r>
    </w:p>
    <w:p w:rsidRPr="00E4160A" w:rsidR="00D77214" w:rsidP="00656661" w:rsidRDefault="02F96EDF" w14:paraId="331ED58F" w14:textId="0FF1F990">
      <w:pPr>
        <w:numPr>
          <w:ilvl w:val="1"/>
          <w:numId w:val="17"/>
        </w:numPr>
        <w:autoSpaceDE w:val="0"/>
        <w:autoSpaceDN w:val="0"/>
        <w:adjustRightInd w:val="0"/>
        <w:spacing w:after="0" w:line="240" w:lineRule="auto"/>
        <w:rPr>
          <w:rFonts w:ascii="Arial" w:hAnsi="Arial" w:cs="Arial"/>
          <w:color w:val="000000" w:themeColor="text1"/>
        </w:rPr>
      </w:pPr>
      <w:r w:rsidRPr="02F96EDF">
        <w:rPr>
          <w:rFonts w:ascii="Arial" w:hAnsi="Arial" w:cs="Arial"/>
          <w:color w:val="000000" w:themeColor="text1"/>
        </w:rPr>
        <w:t>Provide a source of advice on the interpretation and application of University policies and of guidance offered by QAA in the UK Quality Code and elsewhere.</w:t>
      </w:r>
    </w:p>
    <w:p w:rsidRPr="00E4160A" w:rsidR="00D77214" w:rsidP="00656661" w:rsidRDefault="02F96EDF" w14:paraId="40F3A7E4" w14:textId="52F1F1A9">
      <w:pPr>
        <w:numPr>
          <w:ilvl w:val="1"/>
          <w:numId w:val="17"/>
        </w:numPr>
        <w:autoSpaceDE w:val="0"/>
        <w:autoSpaceDN w:val="0"/>
        <w:adjustRightInd w:val="0"/>
        <w:spacing w:after="0" w:line="240" w:lineRule="auto"/>
        <w:rPr>
          <w:rFonts w:ascii="Arial" w:hAnsi="Arial" w:cs="Arial"/>
          <w:color w:val="000000" w:themeColor="text1"/>
        </w:rPr>
      </w:pPr>
      <w:r w:rsidRPr="02F96EDF">
        <w:rPr>
          <w:rFonts w:ascii="Arial" w:hAnsi="Arial" w:cs="Arial"/>
          <w:color w:val="000000" w:themeColor="text1"/>
        </w:rPr>
        <w:t>Alert the institution and/or the University to policies, procedures or circumstances which seem likely to impede the effective functioning of the Board or the discharge of their responsibilities by internal or External Examiners.</w:t>
      </w:r>
    </w:p>
    <w:p w:rsidRPr="00E4160A" w:rsidR="00D77214" w:rsidP="00656661" w:rsidRDefault="02F96EDF" w14:paraId="5E7CA09B" w14:textId="6BCBFAF2">
      <w:pPr>
        <w:numPr>
          <w:ilvl w:val="1"/>
          <w:numId w:val="17"/>
        </w:numPr>
        <w:autoSpaceDE w:val="0"/>
        <w:autoSpaceDN w:val="0"/>
        <w:adjustRightInd w:val="0"/>
        <w:spacing w:after="0" w:line="240" w:lineRule="auto"/>
        <w:rPr>
          <w:rFonts w:ascii="Arial" w:hAnsi="Arial" w:cs="Arial"/>
          <w:color w:val="000000" w:themeColor="text1"/>
        </w:rPr>
      </w:pPr>
      <w:r w:rsidRPr="02F96EDF">
        <w:rPr>
          <w:rFonts w:ascii="Arial" w:hAnsi="Arial" w:cs="Arial"/>
          <w:color w:val="000000" w:themeColor="text1"/>
        </w:rPr>
        <w:t xml:space="preserve">Provide feedback to the University which will be included in briefing for institutional review panels. </w:t>
      </w:r>
    </w:p>
    <w:p w:rsidRPr="009847AF" w:rsidR="00D77214" w:rsidP="1E23324E" w:rsidRDefault="00D77214" w14:paraId="1D7FB3C3" w14:textId="77777777">
      <w:pPr>
        <w:pStyle w:val="NoSpacing"/>
        <w:rPr>
          <w:rFonts w:ascii="Arial" w:hAnsi="Arial" w:cs="Arial"/>
        </w:rPr>
      </w:pPr>
    </w:p>
    <w:p w:rsidR="02F96EDF" w:rsidP="02F96EDF" w:rsidRDefault="02F96EDF" w14:paraId="0BA5EDF7" w14:textId="72D302BE">
      <w:pPr>
        <w:pStyle w:val="NoSpacing"/>
        <w:rPr>
          <w:rFonts w:ascii="Arial" w:hAnsi="Arial" w:cs="Arial"/>
          <w:i/>
          <w:iCs/>
        </w:rPr>
      </w:pPr>
    </w:p>
    <w:p w:rsidRPr="00370280" w:rsidR="00E4160A" w:rsidP="00370280" w:rsidRDefault="00370280" w14:paraId="255B905A" w14:textId="116969D9">
      <w:pPr>
        <w:pStyle w:val="NoSpacing"/>
        <w:rPr>
          <w:rFonts w:ascii="Arial" w:hAnsi="Arial" w:cs="Arial"/>
          <w:i/>
        </w:rPr>
      </w:pPr>
      <w:r w:rsidRPr="00370280">
        <w:rPr>
          <w:rFonts w:ascii="Arial" w:hAnsi="Arial" w:cs="Arial"/>
          <w:i/>
        </w:rPr>
        <w:t>The OU representative will a</w:t>
      </w:r>
      <w:r w:rsidRPr="00370280" w:rsidR="1E23324E">
        <w:rPr>
          <w:rFonts w:ascii="Arial" w:hAnsi="Arial" w:cs="Arial"/>
          <w:i/>
        </w:rPr>
        <w:t>ssure themselves and the Open University that:</w:t>
      </w:r>
    </w:p>
    <w:p w:rsidRPr="009847AF" w:rsidR="00E4160A" w:rsidP="1E23324E" w:rsidRDefault="00E4160A" w14:paraId="01D2CE55" w14:textId="77777777">
      <w:pPr>
        <w:pStyle w:val="NoSpacing"/>
        <w:ind w:left="720"/>
        <w:rPr>
          <w:rFonts w:ascii="Arial" w:hAnsi="Arial" w:cs="Arial"/>
        </w:rPr>
      </w:pPr>
    </w:p>
    <w:p w:rsidRPr="00F9526E" w:rsidR="00343C04" w:rsidP="00080B89" w:rsidRDefault="02F96EDF" w14:paraId="24068A92" w14:textId="268CA990">
      <w:pPr>
        <w:pStyle w:val="ListParagraph"/>
        <w:numPr>
          <w:ilvl w:val="1"/>
          <w:numId w:val="17"/>
        </w:numPr>
        <w:autoSpaceDE w:val="0"/>
        <w:autoSpaceDN w:val="0"/>
        <w:adjustRightInd w:val="0"/>
        <w:spacing w:after="149" w:line="240" w:lineRule="auto"/>
        <w:rPr>
          <w:rFonts w:ascii="Arial" w:hAnsi="Arial" w:cs="Arial"/>
        </w:rPr>
      </w:pPr>
      <w:r w:rsidRPr="02F96EDF">
        <w:rPr>
          <w:rFonts w:ascii="Arial" w:hAnsi="Arial" w:cs="Arial"/>
        </w:rPr>
        <w:t xml:space="preserve">The regulations of the University and the University Centre have been properly observed. </w:t>
      </w:r>
    </w:p>
    <w:p w:rsidRPr="00F9526E" w:rsidR="00343C04" w:rsidP="00080B89" w:rsidRDefault="02F96EDF" w14:paraId="3CB4D8F4" w14:textId="25601CF9">
      <w:pPr>
        <w:pStyle w:val="ListParagraph"/>
        <w:numPr>
          <w:ilvl w:val="1"/>
          <w:numId w:val="17"/>
        </w:numPr>
        <w:autoSpaceDE w:val="0"/>
        <w:autoSpaceDN w:val="0"/>
        <w:adjustRightInd w:val="0"/>
        <w:spacing w:after="149" w:line="240" w:lineRule="auto"/>
        <w:rPr>
          <w:rFonts w:ascii="Arial" w:hAnsi="Arial" w:cs="Arial"/>
        </w:rPr>
      </w:pPr>
      <w:r w:rsidRPr="02F96EDF">
        <w:rPr>
          <w:rFonts w:ascii="Arial" w:hAnsi="Arial" w:cs="Arial"/>
        </w:rPr>
        <w:t>The assessment and qualification processes have been implemented with appropriate quality assurance and control procedures.</w:t>
      </w:r>
    </w:p>
    <w:p w:rsidRPr="00F9526E" w:rsidR="00D77214" w:rsidP="00080B89" w:rsidRDefault="02F96EDF" w14:paraId="4B453D0F" w14:textId="02BD4F3B">
      <w:pPr>
        <w:pStyle w:val="ListParagraph"/>
        <w:numPr>
          <w:ilvl w:val="1"/>
          <w:numId w:val="17"/>
        </w:numPr>
        <w:autoSpaceDE w:val="0"/>
        <w:autoSpaceDN w:val="0"/>
        <w:adjustRightInd w:val="0"/>
        <w:spacing w:after="149" w:line="240" w:lineRule="auto"/>
        <w:rPr>
          <w:rFonts w:ascii="Arial" w:hAnsi="Arial" w:cs="Arial"/>
        </w:rPr>
      </w:pPr>
      <w:r w:rsidRPr="02F96EDF">
        <w:rPr>
          <w:rFonts w:ascii="Arial" w:hAnsi="Arial" w:cs="Arial"/>
        </w:rPr>
        <w:t xml:space="preserve">There is confidence that the precisely detailed cohort of students have met the threshold (academic) standards required for eligibility for the identified award of credit and/or qualifications. </w:t>
      </w:r>
    </w:p>
    <w:p w:rsidRPr="009847AF" w:rsidR="00C529E1" w:rsidP="00080B89" w:rsidRDefault="02F96EDF" w14:paraId="53128261" w14:textId="2FCB668D">
      <w:pPr>
        <w:pStyle w:val="ListParagraph"/>
        <w:numPr>
          <w:ilvl w:val="1"/>
          <w:numId w:val="17"/>
        </w:numPr>
        <w:spacing w:after="149" w:line="240" w:lineRule="auto"/>
        <w:rPr>
          <w:rFonts w:ascii="Arial" w:hAnsi="Arial" w:cs="Arial"/>
        </w:rPr>
      </w:pPr>
      <w:r w:rsidRPr="02F96EDF">
        <w:rPr>
          <w:rFonts w:ascii="Arial" w:hAnsi="Arial" w:cs="Arial"/>
        </w:rPr>
        <w:t>Assessments are moderated internally and externally in accordance with approved regulations, and that reasonable adjustments (where applicable) have been approved and applied.</w:t>
      </w:r>
    </w:p>
    <w:sectPr w:rsidRPr="009847AF" w:rsidR="00C529E1">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2C" w:rsidP="00CC2AB1" w:rsidRDefault="00782E2C" w14:paraId="4B99056E" w14:textId="77777777">
      <w:pPr>
        <w:spacing w:after="0" w:line="240" w:lineRule="auto"/>
      </w:pPr>
      <w:r>
        <w:separator/>
      </w:r>
    </w:p>
  </w:endnote>
  <w:endnote w:type="continuationSeparator" w:id="0">
    <w:p w:rsidR="00782E2C" w:rsidP="00CC2AB1" w:rsidRDefault="00782E2C" w14:paraId="1299C43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C2AB1" w:rsidR="00782E2C" w:rsidRDefault="00D77214" w14:paraId="2EE401B2" w14:textId="560C28AF">
    <w:pPr>
      <w:pStyle w:val="Footer"/>
      <w:rPr>
        <w:rFonts w:ascii="Arial" w:hAnsi="Arial" w:cs="Arial"/>
        <w:sz w:val="16"/>
        <w:szCs w:val="16"/>
      </w:rPr>
    </w:pPr>
    <w:r w:rsidRPr="6F58B131" w:rsidR="6F58B131">
      <w:rPr>
        <w:rFonts w:ascii="Arial" w:hAnsi="Arial" w:cs="Arial"/>
        <w:sz w:val="16"/>
        <w:szCs w:val="16"/>
      </w:rPr>
      <w:t>Reviewed September 20</w:t>
    </w:r>
    <w:r w:rsidRPr="6F58B131" w:rsidR="6F58B131">
      <w:rPr>
        <w:rFonts w:ascii="Arial" w:hAnsi="Arial" w:cs="Arial"/>
        <w:sz w:val="16"/>
        <w:szCs w:val="16"/>
      </w:rPr>
      <w:t>23 v3.0</w:t>
    </w:r>
    <w:r>
      <w:tab/>
    </w:r>
    <w:r>
      <w:tab/>
    </w:r>
    <w:r w:rsidRPr="6F58B131">
      <w:rPr>
        <w:rFonts w:ascii="Arial" w:hAnsi="Arial" w:cs="Arial"/>
        <w:noProof/>
        <w:sz w:val="16"/>
        <w:szCs w:val="16"/>
      </w:rPr>
      <w:fldChar w:fldCharType="begin"/>
    </w:r>
    <w:r w:rsidRPr="6F58B131">
      <w:rPr>
        <w:rFonts w:ascii="Arial" w:hAnsi="Arial" w:cs="Arial"/>
        <w:sz w:val="16"/>
        <w:szCs w:val="16"/>
      </w:rPr>
      <w:instrText xml:space="preserve"> PAGE   \* MERGEFORMAT </w:instrText>
    </w:r>
    <w:r w:rsidRPr="6F58B131">
      <w:rPr>
        <w:rFonts w:ascii="Arial" w:hAnsi="Arial" w:cs="Arial"/>
        <w:sz w:val="16"/>
        <w:szCs w:val="16"/>
      </w:rPr>
      <w:fldChar w:fldCharType="separate"/>
    </w:r>
    <w:r w:rsidRPr="6F58B131" w:rsidR="6F58B131">
      <w:rPr>
        <w:rFonts w:ascii="Arial" w:hAnsi="Arial" w:cs="Arial"/>
        <w:noProof/>
        <w:sz w:val="16"/>
        <w:szCs w:val="16"/>
      </w:rPr>
      <w:t>1</w:t>
    </w:r>
    <w:r w:rsidRPr="6F58B131">
      <w:rPr>
        <w:rFonts w:ascii="Arial" w:hAnsi="Arial" w:cs="Arial"/>
        <w:noProof/>
        <w:sz w:val="16"/>
        <w:szCs w:val="16"/>
      </w:rPr>
      <w:fldChar w:fldCharType="end"/>
    </w:r>
  </w:p>
  <w:p w:rsidR="00782E2C" w:rsidRDefault="00782E2C" w14:paraId="3CF2D8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2C" w:rsidP="00CC2AB1" w:rsidRDefault="00782E2C" w14:paraId="4DDBEF00" w14:textId="77777777">
      <w:pPr>
        <w:spacing w:after="0" w:line="240" w:lineRule="auto"/>
      </w:pPr>
      <w:r>
        <w:separator/>
      </w:r>
    </w:p>
  </w:footnote>
  <w:footnote w:type="continuationSeparator" w:id="0">
    <w:p w:rsidR="00782E2C" w:rsidP="00CC2AB1" w:rsidRDefault="00782E2C" w14:paraId="3461D77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81E" w:rsidP="004E181E" w:rsidRDefault="004E181E" w14:paraId="62486C05" w14:textId="712DE555">
    <w:pPr>
      <w:pStyle w:val="Header"/>
      <w:jc w:val="right"/>
    </w:pPr>
  </w:p>
  <w:p w:rsidR="004E181E" w:rsidRDefault="004E181E" w14:paraId="410165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14A2AB"/>
    <w:multiLevelType w:val="hybridMultilevel"/>
    <w:tmpl w:val="CBDE29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A44E59"/>
    <w:multiLevelType w:val="hybridMultilevel"/>
    <w:tmpl w:val="966370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AE79EE"/>
    <w:multiLevelType w:val="hybridMultilevel"/>
    <w:tmpl w:val="D72C59E4"/>
    <w:lvl w:ilvl="0" w:tplc="0809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A0722C"/>
    <w:multiLevelType w:val="hybridMultilevel"/>
    <w:tmpl w:val="D816723E"/>
    <w:lvl w:ilvl="0" w:tplc="0809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Symbol" w:hAnsi="Symbo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246EE1"/>
    <w:multiLevelType w:val="hybridMultilevel"/>
    <w:tmpl w:val="C3E6CE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2E08C5"/>
    <w:multiLevelType w:val="hybridMultilevel"/>
    <w:tmpl w:val="3F90C5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3E1E49"/>
    <w:multiLevelType w:val="hybridMultilevel"/>
    <w:tmpl w:val="25E8C118"/>
    <w:lvl w:ilvl="0" w:tplc="482ADA86">
      <w:start w:val="1"/>
      <w:numFmt w:val="bullet"/>
      <w:lvlText w:val=""/>
      <w:lvlJc w:val="left"/>
      <w:pPr>
        <w:ind w:left="720" w:hanging="360"/>
      </w:pPr>
      <w:rPr>
        <w:rFonts w:hint="default" w:ascii="Symbol" w:hAnsi="Symbol"/>
      </w:rPr>
    </w:lvl>
    <w:lvl w:ilvl="1" w:tplc="BF4EA3CA">
      <w:start w:val="1"/>
      <w:numFmt w:val="bullet"/>
      <w:lvlText w:val=""/>
      <w:lvlJc w:val="left"/>
      <w:pPr>
        <w:ind w:left="1440" w:hanging="360"/>
      </w:pPr>
      <w:rPr>
        <w:rFonts w:hint="default" w:ascii="Symbol" w:hAnsi="Symbol"/>
      </w:rPr>
    </w:lvl>
    <w:lvl w:ilvl="2" w:tplc="074643E0">
      <w:start w:val="1"/>
      <w:numFmt w:val="bullet"/>
      <w:lvlText w:val=""/>
      <w:lvlJc w:val="left"/>
      <w:pPr>
        <w:ind w:left="2160" w:hanging="360"/>
      </w:pPr>
      <w:rPr>
        <w:rFonts w:hint="default" w:ascii="Wingdings" w:hAnsi="Wingdings"/>
      </w:rPr>
    </w:lvl>
    <w:lvl w:ilvl="3" w:tplc="3C6EACB8">
      <w:start w:val="1"/>
      <w:numFmt w:val="bullet"/>
      <w:lvlText w:val=""/>
      <w:lvlJc w:val="left"/>
      <w:pPr>
        <w:ind w:left="2880" w:hanging="360"/>
      </w:pPr>
      <w:rPr>
        <w:rFonts w:hint="default" w:ascii="Symbol" w:hAnsi="Symbol"/>
      </w:rPr>
    </w:lvl>
    <w:lvl w:ilvl="4" w:tplc="8F86A0D4">
      <w:start w:val="1"/>
      <w:numFmt w:val="bullet"/>
      <w:lvlText w:val="o"/>
      <w:lvlJc w:val="left"/>
      <w:pPr>
        <w:ind w:left="3600" w:hanging="360"/>
      </w:pPr>
      <w:rPr>
        <w:rFonts w:hint="default" w:ascii="Courier New" w:hAnsi="Courier New"/>
      </w:rPr>
    </w:lvl>
    <w:lvl w:ilvl="5" w:tplc="4DA07A64">
      <w:start w:val="1"/>
      <w:numFmt w:val="bullet"/>
      <w:lvlText w:val=""/>
      <w:lvlJc w:val="left"/>
      <w:pPr>
        <w:ind w:left="4320" w:hanging="360"/>
      </w:pPr>
      <w:rPr>
        <w:rFonts w:hint="default" w:ascii="Wingdings" w:hAnsi="Wingdings"/>
      </w:rPr>
    </w:lvl>
    <w:lvl w:ilvl="6" w:tplc="B2A25D46">
      <w:start w:val="1"/>
      <w:numFmt w:val="bullet"/>
      <w:lvlText w:val=""/>
      <w:lvlJc w:val="left"/>
      <w:pPr>
        <w:ind w:left="5040" w:hanging="360"/>
      </w:pPr>
      <w:rPr>
        <w:rFonts w:hint="default" w:ascii="Symbol" w:hAnsi="Symbol"/>
      </w:rPr>
    </w:lvl>
    <w:lvl w:ilvl="7" w:tplc="C7ACAD62">
      <w:start w:val="1"/>
      <w:numFmt w:val="bullet"/>
      <w:lvlText w:val="o"/>
      <w:lvlJc w:val="left"/>
      <w:pPr>
        <w:ind w:left="5760" w:hanging="360"/>
      </w:pPr>
      <w:rPr>
        <w:rFonts w:hint="default" w:ascii="Courier New" w:hAnsi="Courier New"/>
      </w:rPr>
    </w:lvl>
    <w:lvl w:ilvl="8" w:tplc="37845348">
      <w:start w:val="1"/>
      <w:numFmt w:val="bullet"/>
      <w:lvlText w:val=""/>
      <w:lvlJc w:val="left"/>
      <w:pPr>
        <w:ind w:left="6480" w:hanging="360"/>
      </w:pPr>
      <w:rPr>
        <w:rFonts w:hint="default" w:ascii="Wingdings" w:hAnsi="Wingdings"/>
      </w:rPr>
    </w:lvl>
  </w:abstractNum>
  <w:abstractNum w:abstractNumId="7" w15:restartNumberingAfterBreak="0">
    <w:nsid w:val="29B657AB"/>
    <w:multiLevelType w:val="multilevel"/>
    <w:tmpl w:val="2B629B68"/>
    <w:lvl w:ilvl="0">
      <w:start w:val="1"/>
      <w:numFmt w:val="decimal"/>
      <w:lvlText w:val="%1."/>
      <w:lvlJc w:val="left"/>
      <w:pPr>
        <w:ind w:left="720" w:hanging="360"/>
      </w:pPr>
      <w:rPr>
        <w:rFonts w:hint="default"/>
      </w:rPr>
    </w:lvl>
    <w:lvl w:ilvl="1">
      <w:start w:val="1"/>
      <w:numFmt w:val="bullet"/>
      <w:lvlText w:val=""/>
      <w:lvlJc w:val="left"/>
      <w:pPr>
        <w:ind w:left="1080" w:hanging="720"/>
      </w:pPr>
      <w:rPr>
        <w:rFonts w:hint="default" w:ascii="Symbol" w:hAnsi="Symbo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764BFB"/>
    <w:multiLevelType w:val="hybridMultilevel"/>
    <w:tmpl w:val="1CAC5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A96E6E"/>
    <w:multiLevelType w:val="multilevel"/>
    <w:tmpl w:val="BD10B114"/>
    <w:lvl w:ilvl="0">
      <w:start w:val="1"/>
      <w:numFmt w:val="bullet"/>
      <w:lvlText w:val=""/>
      <w:lvlJc w:val="left"/>
      <w:pPr>
        <w:ind w:left="720" w:hanging="360"/>
      </w:pPr>
      <w:rPr>
        <w:rFonts w:hint="default" w:ascii="Symbol" w:hAnsi="Symbol"/>
      </w:rPr>
    </w:lvl>
    <w:lvl w:ilvl="1">
      <w:start w:val="1"/>
      <w:numFmt w:val="bullet"/>
      <w:lvlText w:val=""/>
      <w:lvlJc w:val="left"/>
      <w:pPr>
        <w:ind w:left="1080" w:hanging="720"/>
      </w:pPr>
      <w:rPr>
        <w:rFonts w:hint="default" w:ascii="Symbol" w:hAnsi="Symbol"/>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326C2B"/>
    <w:multiLevelType w:val="hybridMultilevel"/>
    <w:tmpl w:val="5290B0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D814F5"/>
    <w:multiLevelType w:val="multilevel"/>
    <w:tmpl w:val="BA0E275C"/>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522B5C"/>
    <w:multiLevelType w:val="hybridMultilevel"/>
    <w:tmpl w:val="2D56B794"/>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ABCD86"/>
    <w:multiLevelType w:val="hybridMultilevel"/>
    <w:tmpl w:val="EB6AC4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2914431"/>
    <w:multiLevelType w:val="hybridMultilevel"/>
    <w:tmpl w:val="B2B2C506"/>
    <w:lvl w:ilvl="0" w:tplc="A78AD3E0">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0C7E8A"/>
    <w:multiLevelType w:val="hybridMultilevel"/>
    <w:tmpl w:val="868E5D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6331885"/>
    <w:multiLevelType w:val="hybridMultilevel"/>
    <w:tmpl w:val="D5861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873B65"/>
    <w:multiLevelType w:val="hybridMultilevel"/>
    <w:tmpl w:val="C2C0D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B58517B"/>
    <w:multiLevelType w:val="hybridMultilevel"/>
    <w:tmpl w:val="143CC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5BC073D"/>
    <w:multiLevelType w:val="hybridMultilevel"/>
    <w:tmpl w:val="BE9C075E"/>
    <w:lvl w:ilvl="0" w:tplc="0809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CBE58C2"/>
    <w:multiLevelType w:val="multilevel"/>
    <w:tmpl w:val="2B629B68"/>
    <w:lvl w:ilvl="0">
      <w:start w:val="1"/>
      <w:numFmt w:val="decimal"/>
      <w:lvlText w:val="%1."/>
      <w:lvlJc w:val="left"/>
      <w:pPr>
        <w:ind w:left="720" w:hanging="360"/>
      </w:pPr>
      <w:rPr>
        <w:rFonts w:hint="default"/>
      </w:rPr>
    </w:lvl>
    <w:lvl w:ilvl="1">
      <w:start w:val="1"/>
      <w:numFmt w:val="bullet"/>
      <w:lvlText w:val=""/>
      <w:lvlJc w:val="left"/>
      <w:pPr>
        <w:ind w:left="1080" w:hanging="720"/>
      </w:pPr>
      <w:rPr>
        <w:rFonts w:hint="default" w:ascii="Symbol" w:hAnsi="Symbo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2"/>
  </w:num>
  <w:num w:numId="3">
    <w:abstractNumId w:val="19"/>
  </w:num>
  <w:num w:numId="4">
    <w:abstractNumId w:val="16"/>
  </w:num>
  <w:num w:numId="5">
    <w:abstractNumId w:val="5"/>
  </w:num>
  <w:num w:numId="6">
    <w:abstractNumId w:val="17"/>
  </w:num>
  <w:num w:numId="7">
    <w:abstractNumId w:val="14"/>
  </w:num>
  <w:num w:numId="8">
    <w:abstractNumId w:val="8"/>
  </w:num>
  <w:num w:numId="9">
    <w:abstractNumId w:val="4"/>
  </w:num>
  <w:num w:numId="10">
    <w:abstractNumId w:val="10"/>
  </w:num>
  <w:num w:numId="11">
    <w:abstractNumId w:val="1"/>
  </w:num>
  <w:num w:numId="12">
    <w:abstractNumId w:val="13"/>
  </w:num>
  <w:num w:numId="13">
    <w:abstractNumId w:val="18"/>
  </w:num>
  <w:num w:numId="14">
    <w:abstractNumId w:val="15"/>
  </w:num>
  <w:num w:numId="15">
    <w:abstractNumId w:val="0"/>
  </w:num>
  <w:num w:numId="16">
    <w:abstractNumId w:val="3"/>
  </w:num>
  <w:num w:numId="17">
    <w:abstractNumId w:val="11"/>
  </w:num>
  <w:num w:numId="18">
    <w:abstractNumId w:val="2"/>
  </w:num>
  <w:num w:numId="19">
    <w:abstractNumId w:val="7"/>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2E"/>
    <w:rsid w:val="00075485"/>
    <w:rsid w:val="00080B89"/>
    <w:rsid w:val="00180A42"/>
    <w:rsid w:val="001849F0"/>
    <w:rsid w:val="00210A4B"/>
    <w:rsid w:val="00245E88"/>
    <w:rsid w:val="002A341E"/>
    <w:rsid w:val="002B3DCF"/>
    <w:rsid w:val="0030149F"/>
    <w:rsid w:val="00343C04"/>
    <w:rsid w:val="00344653"/>
    <w:rsid w:val="00365D8C"/>
    <w:rsid w:val="00370280"/>
    <w:rsid w:val="003A793C"/>
    <w:rsid w:val="003B4255"/>
    <w:rsid w:val="003D1498"/>
    <w:rsid w:val="00446B4C"/>
    <w:rsid w:val="00455228"/>
    <w:rsid w:val="00486F64"/>
    <w:rsid w:val="004C1DEB"/>
    <w:rsid w:val="004E181E"/>
    <w:rsid w:val="004F666F"/>
    <w:rsid w:val="00522FED"/>
    <w:rsid w:val="00572FB8"/>
    <w:rsid w:val="00573D29"/>
    <w:rsid w:val="00590925"/>
    <w:rsid w:val="005F6311"/>
    <w:rsid w:val="00656661"/>
    <w:rsid w:val="006C7A02"/>
    <w:rsid w:val="006C7D5D"/>
    <w:rsid w:val="006D3807"/>
    <w:rsid w:val="0070435A"/>
    <w:rsid w:val="00782E2C"/>
    <w:rsid w:val="00791A5D"/>
    <w:rsid w:val="007C7B49"/>
    <w:rsid w:val="007E6C26"/>
    <w:rsid w:val="008238EE"/>
    <w:rsid w:val="00847FD5"/>
    <w:rsid w:val="0086665E"/>
    <w:rsid w:val="008931BE"/>
    <w:rsid w:val="008A193B"/>
    <w:rsid w:val="008D68EA"/>
    <w:rsid w:val="008F386A"/>
    <w:rsid w:val="008F4339"/>
    <w:rsid w:val="009253C6"/>
    <w:rsid w:val="009847AF"/>
    <w:rsid w:val="009907E6"/>
    <w:rsid w:val="009B2BD0"/>
    <w:rsid w:val="009B5CE6"/>
    <w:rsid w:val="009F4742"/>
    <w:rsid w:val="00A007A9"/>
    <w:rsid w:val="00A602E7"/>
    <w:rsid w:val="00A80C91"/>
    <w:rsid w:val="00A8594B"/>
    <w:rsid w:val="00A903B0"/>
    <w:rsid w:val="00AB74A2"/>
    <w:rsid w:val="00AE009B"/>
    <w:rsid w:val="00AF562E"/>
    <w:rsid w:val="00B61DBC"/>
    <w:rsid w:val="00BB2292"/>
    <w:rsid w:val="00BC6F20"/>
    <w:rsid w:val="00C01EA3"/>
    <w:rsid w:val="00C4794B"/>
    <w:rsid w:val="00C529E1"/>
    <w:rsid w:val="00C95900"/>
    <w:rsid w:val="00CB0117"/>
    <w:rsid w:val="00CC2AB1"/>
    <w:rsid w:val="00CD5A4B"/>
    <w:rsid w:val="00CF061D"/>
    <w:rsid w:val="00D04377"/>
    <w:rsid w:val="00D04C0B"/>
    <w:rsid w:val="00D6543A"/>
    <w:rsid w:val="00D77214"/>
    <w:rsid w:val="00D82227"/>
    <w:rsid w:val="00DC44B7"/>
    <w:rsid w:val="00E054AB"/>
    <w:rsid w:val="00E06CB8"/>
    <w:rsid w:val="00E4160A"/>
    <w:rsid w:val="00E41831"/>
    <w:rsid w:val="00E77F90"/>
    <w:rsid w:val="00E87AA0"/>
    <w:rsid w:val="00EF2762"/>
    <w:rsid w:val="00F13A82"/>
    <w:rsid w:val="00F346FF"/>
    <w:rsid w:val="00F5148F"/>
    <w:rsid w:val="00F9526E"/>
    <w:rsid w:val="02F96EDF"/>
    <w:rsid w:val="1E23324E"/>
    <w:rsid w:val="26ACE70B"/>
    <w:rsid w:val="56387551"/>
    <w:rsid w:val="6F58B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A5F2F"/>
  <w15:docId w15:val="{0B36AFCE-F596-48BF-8506-45B8B826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F562E"/>
    <w:pPr>
      <w:spacing w:after="0" w:line="240" w:lineRule="auto"/>
    </w:pPr>
  </w:style>
  <w:style w:type="paragraph" w:styleId="Default" w:customStyle="1">
    <w:name w:val="Default"/>
    <w:rsid w:val="0059092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C2A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2AB1"/>
  </w:style>
  <w:style w:type="paragraph" w:styleId="Footer">
    <w:name w:val="footer"/>
    <w:basedOn w:val="Normal"/>
    <w:link w:val="FooterChar"/>
    <w:uiPriority w:val="99"/>
    <w:unhideWhenUsed/>
    <w:rsid w:val="00CC2A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2AB1"/>
  </w:style>
  <w:style w:type="paragraph" w:styleId="BalloonText">
    <w:name w:val="Balloon Text"/>
    <w:basedOn w:val="Normal"/>
    <w:link w:val="BalloonTextChar"/>
    <w:uiPriority w:val="99"/>
    <w:semiHidden/>
    <w:unhideWhenUsed/>
    <w:rsid w:val="00CC2AB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2AB1"/>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E41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5eecd6-2534-482e-b7a0-96a124fd5c3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4" ma:contentTypeDescription="Create a new document." ma:contentTypeScope="" ma:versionID="327a5bc831ac78d8de1796ed9b652bc0">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08566c7f74d8ff17f9ca6e7d9b0fd4e4"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58FD6-05AB-4CD0-9696-F09A9CF92C41}">
  <ds:schemaRefs>
    <ds:schemaRef ds:uri="http://schemas.openxmlformats.org/package/2006/metadata/core-properties"/>
    <ds:schemaRef ds:uri="6a907a37-9827-45cd-842c-7a73719441c1"/>
    <ds:schemaRef ds:uri="http://purl.org/dc/elements/1.1/"/>
    <ds:schemaRef ds:uri="ead87ffd-8526-4d4f-ba2e-6d52cdd5b246"/>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D89A0950-1BCB-4B7C-A4C1-D434F2FF26B0}">
  <ds:schemaRefs>
    <ds:schemaRef ds:uri="http://schemas.microsoft.com/sharepoint/v3/contenttype/forms"/>
  </ds:schemaRefs>
</ds:datastoreItem>
</file>

<file path=customXml/itemProps3.xml><?xml version="1.0" encoding="utf-8"?>
<ds:datastoreItem xmlns:ds="http://schemas.openxmlformats.org/officeDocument/2006/customXml" ds:itemID="{09635F56-BD25-4FFA-923F-5D4CE28BF2F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Wyatt</dc:creator>
  <cp:lastModifiedBy>Joanne Lockwood</cp:lastModifiedBy>
  <cp:revision>3</cp:revision>
  <dcterms:created xsi:type="dcterms:W3CDTF">2019-10-07T17:42:00Z</dcterms:created>
  <dcterms:modified xsi:type="dcterms:W3CDTF">2024-09-04T18:46:46Z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y fmtid="{D5CDD505-2E9C-101B-9397-08002B2CF9AE}" pid="3" name="Order">
    <vt:r8>410500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TriggerFlowInfo">
    <vt:lpwstr/>
  </property>
</Properties>
</file>